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rPr>
          <w:rFonts w:hint="eastAsia" w:asciiTheme="majorEastAsia" w:hAnsiTheme="majorEastAsia" w:eastAsiaTheme="majorEastAsia"/>
          <w:sz w:val="30"/>
          <w:szCs w:val="30"/>
        </w:rPr>
      </w:pPr>
    </w:p>
    <w:p>
      <w:pPr>
        <w:widowControl/>
        <w:adjustRightInd w:val="0"/>
        <w:snapToGrid w:val="0"/>
        <w:spacing w:line="500" w:lineRule="exact"/>
        <w:rPr>
          <w:rFonts w:asciiTheme="majorEastAsia" w:hAnsiTheme="majorEastAsia" w:eastAsiaTheme="majorEastAsia"/>
          <w:sz w:val="36"/>
          <w:szCs w:val="36"/>
        </w:rPr>
      </w:pPr>
    </w:p>
    <w:p>
      <w:pPr>
        <w:widowControl/>
        <w:adjustRightInd w:val="0"/>
        <w:snapToGrid w:val="0"/>
        <w:spacing w:line="500" w:lineRule="exact"/>
        <w:rPr>
          <w:rFonts w:asciiTheme="majorEastAsia" w:hAnsiTheme="majorEastAsia" w:eastAsiaTheme="majorEastAsia"/>
          <w:sz w:val="36"/>
          <w:szCs w:val="36"/>
        </w:rPr>
      </w:pPr>
    </w:p>
    <w:p>
      <w:pPr>
        <w:widowControl/>
        <w:adjustRightInd w:val="0"/>
        <w:snapToGrid w:val="0"/>
        <w:spacing w:line="500" w:lineRule="exact"/>
        <w:rPr>
          <w:rFonts w:asciiTheme="majorEastAsia" w:hAnsiTheme="majorEastAsia" w:eastAsiaTheme="majorEastAsia"/>
          <w:sz w:val="36"/>
          <w:szCs w:val="36"/>
        </w:rPr>
      </w:pPr>
    </w:p>
    <w:p>
      <w:pPr>
        <w:widowControl/>
        <w:adjustRightInd w:val="0"/>
        <w:snapToGrid w:val="0"/>
        <w:spacing w:line="360" w:lineRule="auto"/>
        <w:jc w:val="center"/>
        <w:rPr>
          <w:rFonts w:ascii="黑体" w:hAnsi="黑体" w:eastAsia="黑体"/>
          <w:sz w:val="44"/>
          <w:szCs w:val="44"/>
        </w:rPr>
      </w:pPr>
      <w:r>
        <w:rPr>
          <w:rFonts w:hint="eastAsia" w:ascii="黑体" w:hAnsi="黑体" w:eastAsia="黑体"/>
          <w:sz w:val="44"/>
          <w:szCs w:val="44"/>
        </w:rPr>
        <w:t>广西工商职业技术学院</w:t>
      </w:r>
    </w:p>
    <w:p>
      <w:pPr>
        <w:spacing w:line="500" w:lineRule="exact"/>
        <w:jc w:val="center"/>
        <w:rPr>
          <w:rFonts w:ascii="黑体" w:hAnsi="黑体" w:eastAsia="黑体"/>
          <w:sz w:val="44"/>
          <w:szCs w:val="44"/>
        </w:rPr>
      </w:pPr>
      <w:r>
        <w:rPr>
          <w:rFonts w:hint="eastAsia" w:ascii="黑体" w:hAnsi="黑体" w:eastAsia="黑体"/>
          <w:sz w:val="44"/>
          <w:szCs w:val="44"/>
        </w:rPr>
        <w:t>财务核算软件（含核算、报表模块）采购</w:t>
      </w:r>
    </w:p>
    <w:p>
      <w:pPr>
        <w:spacing w:line="500" w:lineRule="exact"/>
        <w:rPr>
          <w:rFonts w:ascii="黑体" w:hAnsi="黑体" w:eastAsia="黑体"/>
          <w:sz w:val="44"/>
          <w:szCs w:val="44"/>
        </w:rPr>
      </w:pPr>
    </w:p>
    <w:p>
      <w:pPr>
        <w:jc w:val="center"/>
        <w:rPr>
          <w:rFonts w:asciiTheme="majorEastAsia" w:hAnsiTheme="majorEastAsia" w:eastAsiaTheme="majorEastAsia"/>
          <w:b/>
          <w:sz w:val="52"/>
          <w:szCs w:val="52"/>
        </w:rPr>
      </w:pPr>
      <w:r>
        <w:rPr>
          <w:rFonts w:hint="eastAsia" w:ascii="黑体" w:hAnsi="黑体" w:eastAsia="黑体"/>
          <w:sz w:val="44"/>
          <w:szCs w:val="44"/>
        </w:rPr>
        <w:t>竞争性磋商文件</w:t>
      </w: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竞标人：                        （公章）</w:t>
      </w: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法定代表人或其授权代表：        （签名）</w:t>
      </w:r>
    </w:p>
    <w:p>
      <w:pPr>
        <w:spacing w:line="500" w:lineRule="exact"/>
        <w:ind w:firstLine="1440" w:firstLineChars="400"/>
        <w:jc w:val="left"/>
        <w:rPr>
          <w:rFonts w:asciiTheme="majorEastAsia" w:hAnsiTheme="majorEastAsia" w:eastAsiaTheme="majorEastAsia"/>
          <w:sz w:val="36"/>
          <w:szCs w:val="36"/>
        </w:rPr>
      </w:pPr>
    </w:p>
    <w:p>
      <w:pPr>
        <w:spacing w:line="500" w:lineRule="exact"/>
        <w:ind w:firstLine="1274" w:firstLineChars="354"/>
        <w:jc w:val="left"/>
        <w:rPr>
          <w:rFonts w:asciiTheme="majorEastAsia" w:hAnsiTheme="majorEastAsia" w:eastAsiaTheme="majorEastAsia"/>
          <w:sz w:val="36"/>
          <w:szCs w:val="36"/>
        </w:rPr>
      </w:pPr>
      <w:r>
        <w:rPr>
          <w:rFonts w:hint="eastAsia" w:asciiTheme="majorEastAsia" w:hAnsiTheme="majorEastAsia" w:eastAsiaTheme="majorEastAsia"/>
          <w:sz w:val="36"/>
          <w:szCs w:val="36"/>
        </w:rPr>
        <w:t xml:space="preserve">联系方式：  </w:t>
      </w: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2018年   月   日</w:t>
      </w:r>
    </w:p>
    <w:p>
      <w:pPr>
        <w:spacing w:line="500" w:lineRule="exact"/>
        <w:jc w:val="center"/>
        <w:rPr>
          <w:rFonts w:ascii="黑体" w:hAnsi="黑体" w:eastAsia="黑体"/>
          <w:sz w:val="36"/>
          <w:szCs w:val="36"/>
        </w:rPr>
      </w:pPr>
      <w:r>
        <w:rPr>
          <w:rFonts w:asciiTheme="majorEastAsia" w:hAnsiTheme="majorEastAsia" w:eastAsiaTheme="majorEastAsia"/>
          <w:sz w:val="36"/>
          <w:szCs w:val="36"/>
        </w:rPr>
        <w:br w:type="page"/>
      </w:r>
      <w:r>
        <w:rPr>
          <w:rFonts w:hint="eastAsia" w:ascii="黑体" w:hAnsi="黑体" w:eastAsia="黑体"/>
          <w:sz w:val="44"/>
          <w:szCs w:val="44"/>
        </w:rPr>
        <w:t>目  录</w:t>
      </w:r>
    </w:p>
    <w:p>
      <w:pPr>
        <w:spacing w:line="360" w:lineRule="exact"/>
        <w:ind w:firstLine="301" w:firstLineChars="100"/>
        <w:jc w:val="center"/>
        <w:rPr>
          <w:rFonts w:ascii="仿宋" w:hAnsi="仿宋" w:eastAsia="仿宋"/>
          <w:b/>
          <w:sz w:val="30"/>
          <w:szCs w:val="30"/>
        </w:rPr>
      </w:pP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报价表</w:t>
      </w: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项目技术参数</w:t>
      </w: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技术响应、偏离情况说明表</w:t>
      </w:r>
    </w:p>
    <w:p>
      <w:pPr>
        <w:pStyle w:val="8"/>
        <w:numPr>
          <w:ilvl w:val="0"/>
          <w:numId w:val="1"/>
        </w:numPr>
        <w:ind w:firstLineChars="0"/>
        <w:jc w:val="left"/>
        <w:rPr>
          <w:rFonts w:asciiTheme="minorEastAsia" w:hAnsiTheme="minorEastAsia" w:eastAsiaTheme="minorEastAsia"/>
          <w:bCs/>
          <w:kern w:val="0"/>
          <w:sz w:val="32"/>
          <w:szCs w:val="32"/>
        </w:rPr>
      </w:pPr>
      <w:r>
        <w:rPr>
          <w:rFonts w:hint="eastAsia" w:asciiTheme="minorEastAsia" w:hAnsiTheme="minorEastAsia" w:eastAsiaTheme="minorEastAsia"/>
          <w:bCs/>
          <w:kern w:val="0"/>
          <w:sz w:val="32"/>
          <w:szCs w:val="32"/>
        </w:rPr>
        <w:t>服务方案和实施方案等</w:t>
      </w:r>
    </w:p>
    <w:p>
      <w:pPr>
        <w:pStyle w:val="8"/>
        <w:numPr>
          <w:ilvl w:val="0"/>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投标单位资质文件资料清单 </w:t>
      </w: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法定代表人授权书</w:t>
      </w: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投标人授权代表身份证明书</w:t>
      </w:r>
    </w:p>
    <w:p>
      <w:pPr>
        <w:pStyle w:val="8"/>
        <w:numPr>
          <w:ilvl w:val="0"/>
          <w:numId w:val="1"/>
        </w:numPr>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评标方法和评标标准</w:t>
      </w:r>
    </w:p>
    <w:p>
      <w:pPr>
        <w:spacing w:line="600" w:lineRule="auto"/>
        <w:ind w:firstLine="645"/>
        <w:jc w:val="left"/>
        <w:rPr>
          <w:rFonts w:asciiTheme="majorEastAsia" w:hAnsiTheme="majorEastAsia" w:eastAsiaTheme="majorEastAsia"/>
          <w:sz w:val="32"/>
          <w:szCs w:val="32"/>
        </w:rPr>
      </w:pPr>
    </w:p>
    <w:p>
      <w:pPr>
        <w:spacing w:line="600" w:lineRule="auto"/>
        <w:ind w:left="848" w:hanging="848" w:hangingChars="265"/>
        <w:rPr>
          <w:rFonts w:asciiTheme="majorEastAsia" w:hAnsiTheme="majorEastAsia" w:eastAsiaTheme="majorEastAsia"/>
          <w:sz w:val="32"/>
          <w:szCs w:val="28"/>
        </w:rPr>
      </w:pPr>
    </w:p>
    <w:p>
      <w:pPr>
        <w:spacing w:line="600" w:lineRule="auto"/>
        <w:rPr>
          <w:rFonts w:asciiTheme="majorEastAsia" w:hAnsiTheme="majorEastAsia" w:eastAsiaTheme="majorEastAsia"/>
          <w:sz w:val="32"/>
          <w:szCs w:val="28"/>
        </w:rPr>
      </w:pPr>
      <w:r>
        <w:rPr>
          <w:rFonts w:hint="eastAsia" w:asciiTheme="majorEastAsia" w:hAnsiTheme="majorEastAsia" w:eastAsiaTheme="majorEastAsia"/>
          <w:sz w:val="32"/>
          <w:szCs w:val="28"/>
        </w:rPr>
        <w:t xml:space="preserve">  </w:t>
      </w:r>
    </w:p>
    <w:p>
      <w:pPr>
        <w:spacing w:line="520" w:lineRule="exact"/>
        <w:rPr>
          <w:rFonts w:asciiTheme="majorEastAsia" w:hAnsiTheme="majorEastAsia" w:eastAsiaTheme="majorEastAsia"/>
          <w:sz w:val="24"/>
        </w:rPr>
      </w:pPr>
      <w:r>
        <w:rPr>
          <w:rFonts w:asciiTheme="majorEastAsia" w:hAnsiTheme="majorEastAsia" w:eastAsiaTheme="majorEastAsia"/>
          <w:sz w:val="28"/>
          <w:szCs w:val="28"/>
        </w:rPr>
        <w:br w:type="page"/>
      </w:r>
    </w:p>
    <w:p>
      <w:pPr>
        <w:spacing w:line="600" w:lineRule="auto"/>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1、报价表</w:t>
      </w:r>
    </w:p>
    <w:p>
      <w:pPr>
        <w:spacing w:line="500" w:lineRule="exact"/>
        <w:jc w:val="center"/>
        <w:rPr>
          <w:rFonts w:ascii="黑体" w:hAnsi="黑体" w:eastAsia="黑体"/>
          <w:sz w:val="44"/>
          <w:szCs w:val="44"/>
        </w:rPr>
      </w:pPr>
      <w:r>
        <w:rPr>
          <w:rFonts w:hint="eastAsia" w:ascii="黑体" w:hAnsi="黑体" w:eastAsia="黑体"/>
          <w:sz w:val="44"/>
          <w:szCs w:val="44"/>
        </w:rPr>
        <w:t>广西工商职业技术学院财务核算软件（含核算、报表模块）采购报价表</w:t>
      </w:r>
    </w:p>
    <w:tbl>
      <w:tblPr>
        <w:tblStyle w:val="7"/>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75"/>
        <w:gridCol w:w="1713"/>
        <w:gridCol w:w="1705"/>
        <w:gridCol w:w="801"/>
        <w:gridCol w:w="142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5" w:hRule="atLeast"/>
          <w:jc w:val="center"/>
        </w:trPr>
        <w:tc>
          <w:tcPr>
            <w:tcW w:w="2175" w:type="dxa"/>
            <w:shd w:val="clear" w:color="auto" w:fill="auto"/>
            <w:vAlign w:val="center"/>
          </w:tcPr>
          <w:p>
            <w:pPr>
              <w:spacing w:line="360" w:lineRule="exact"/>
              <w:ind w:right="7"/>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投标单位</w:t>
            </w:r>
          </w:p>
        </w:tc>
        <w:tc>
          <w:tcPr>
            <w:tcW w:w="4219" w:type="dxa"/>
            <w:gridSpan w:val="3"/>
            <w:shd w:val="clear" w:color="auto" w:fill="auto"/>
            <w:tcMar>
              <w:left w:w="0" w:type="dxa"/>
              <w:right w:w="0" w:type="dxa"/>
            </w:tcMar>
            <w:vAlign w:val="center"/>
          </w:tcPr>
          <w:p>
            <w:pPr>
              <w:spacing w:line="360" w:lineRule="exact"/>
              <w:ind w:right="7"/>
              <w:jc w:val="center"/>
              <w:rPr>
                <w:rFonts w:asciiTheme="majorEastAsia" w:hAnsiTheme="majorEastAsia" w:eastAsiaTheme="majorEastAsia"/>
                <w:sz w:val="28"/>
                <w:szCs w:val="28"/>
              </w:rPr>
            </w:pPr>
          </w:p>
        </w:tc>
        <w:tc>
          <w:tcPr>
            <w:tcW w:w="1420" w:type="dxa"/>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法人代表</w:t>
            </w:r>
          </w:p>
        </w:tc>
        <w:tc>
          <w:tcPr>
            <w:tcW w:w="1746" w:type="dxa"/>
            <w:shd w:val="clear" w:color="auto" w:fill="auto"/>
            <w:vAlign w:val="center"/>
          </w:tcPr>
          <w:p>
            <w:pPr>
              <w:spacing w:line="36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9" w:hRule="atLeast"/>
          <w:jc w:val="center"/>
        </w:trPr>
        <w:tc>
          <w:tcPr>
            <w:tcW w:w="2175" w:type="dxa"/>
            <w:shd w:val="clear" w:color="auto" w:fill="auto"/>
            <w:vAlign w:val="center"/>
          </w:tcPr>
          <w:p>
            <w:pPr>
              <w:spacing w:line="360" w:lineRule="exact"/>
              <w:ind w:right="7"/>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委托代理人</w:t>
            </w:r>
          </w:p>
        </w:tc>
        <w:tc>
          <w:tcPr>
            <w:tcW w:w="1713" w:type="dxa"/>
            <w:shd w:val="clear" w:color="auto" w:fill="auto"/>
            <w:vAlign w:val="center"/>
          </w:tcPr>
          <w:p>
            <w:pPr>
              <w:spacing w:line="360" w:lineRule="exact"/>
              <w:ind w:right="7"/>
              <w:jc w:val="center"/>
              <w:rPr>
                <w:rFonts w:asciiTheme="majorEastAsia" w:hAnsiTheme="majorEastAsia" w:eastAsiaTheme="majorEastAsia"/>
                <w:sz w:val="28"/>
                <w:szCs w:val="28"/>
              </w:rPr>
            </w:pPr>
          </w:p>
        </w:tc>
        <w:tc>
          <w:tcPr>
            <w:tcW w:w="1705" w:type="dxa"/>
            <w:shd w:val="clear" w:color="auto" w:fill="auto"/>
            <w:vAlign w:val="center"/>
          </w:tcPr>
          <w:p>
            <w:pPr>
              <w:spacing w:line="360" w:lineRule="exact"/>
              <w:ind w:right="-108"/>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联系方式</w:t>
            </w:r>
          </w:p>
        </w:tc>
        <w:tc>
          <w:tcPr>
            <w:tcW w:w="3967" w:type="dxa"/>
            <w:gridSpan w:val="3"/>
            <w:shd w:val="clear" w:color="auto" w:fill="auto"/>
            <w:vAlign w:val="center"/>
          </w:tcPr>
          <w:p>
            <w:pPr>
              <w:spacing w:line="360" w:lineRule="exact"/>
              <w:ind w:right="960"/>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2175" w:type="dxa"/>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预算</w:t>
            </w:r>
          </w:p>
        </w:tc>
        <w:tc>
          <w:tcPr>
            <w:tcW w:w="7385" w:type="dxa"/>
            <w:gridSpan w:val="5"/>
            <w:shd w:val="clear" w:color="auto" w:fill="auto"/>
            <w:vAlign w:val="center"/>
          </w:tcPr>
          <w:p>
            <w:pPr>
              <w:spacing w:line="460" w:lineRule="exact"/>
              <w:rPr>
                <w:rFonts w:ascii="仿宋_GB2312" w:eastAsia="仿宋_GB2312"/>
                <w:sz w:val="28"/>
                <w:szCs w:val="28"/>
              </w:rPr>
            </w:pPr>
            <w:r>
              <w:rPr>
                <w:rFonts w:hint="eastAsia" w:ascii="仿宋" w:hAnsi="仿宋" w:eastAsia="仿宋" w:cs="宋体"/>
                <w:color w:val="000000" w:themeColor="text1"/>
                <w:sz w:val="28"/>
                <w:szCs w:val="28"/>
                <w:lang w:val="zh-CN"/>
                <w14:textFill>
                  <w14:solidFill>
                    <w14:schemeClr w14:val="tx1"/>
                  </w14:solidFill>
                </w14:textFill>
              </w:rPr>
              <w:t>￥</w:t>
            </w:r>
            <w:r>
              <w:rPr>
                <w:rFonts w:hint="eastAsia" w:asciiTheme="majorEastAsia" w:hAnsiTheme="majorEastAsia" w:eastAsiaTheme="majorEastAsia"/>
                <w:sz w:val="30"/>
                <w:szCs w:val="30"/>
              </w:rPr>
              <w:t>16.00万元。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9" w:hRule="atLeast"/>
          <w:jc w:val="center"/>
        </w:trPr>
        <w:tc>
          <w:tcPr>
            <w:tcW w:w="2175" w:type="dxa"/>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项目内容和要求</w:t>
            </w:r>
          </w:p>
        </w:tc>
        <w:tc>
          <w:tcPr>
            <w:tcW w:w="7385" w:type="dxa"/>
            <w:gridSpan w:val="5"/>
            <w:shd w:val="clear" w:color="auto" w:fill="auto"/>
            <w:vAlign w:val="center"/>
          </w:tcPr>
          <w:p>
            <w:pPr>
              <w:spacing w:line="460" w:lineRule="exact"/>
              <w:ind w:firstLine="560" w:firstLineChars="200"/>
              <w:rPr>
                <w:rFonts w:ascii="仿宋_GB2312" w:eastAsia="仿宋_GB2312"/>
                <w:sz w:val="28"/>
                <w:szCs w:val="28"/>
              </w:rPr>
            </w:pPr>
            <w:r>
              <w:rPr>
                <w:rFonts w:hint="eastAsia" w:ascii="仿宋_GB2312" w:eastAsia="仿宋_GB2312"/>
                <w:sz w:val="28"/>
                <w:szCs w:val="28"/>
              </w:rPr>
              <w:t>1.可实现我院财务核算账务处理，确保数据安全性。实现账务处理、报表查询等主要具体功能。</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2.项目建成后，满足我院财务处对财务会计核算的基本要求及日常的各项查询管理，报表的生成及打印。</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3.详见技术参数要求。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0" w:hRule="atLeast"/>
          <w:jc w:val="center"/>
        </w:trPr>
        <w:tc>
          <w:tcPr>
            <w:tcW w:w="2175" w:type="dxa"/>
            <w:shd w:val="clear" w:color="auto" w:fill="auto"/>
            <w:vAlign w:val="center"/>
          </w:tcPr>
          <w:p>
            <w:pPr>
              <w:spacing w:line="360" w:lineRule="exact"/>
              <w:jc w:val="center"/>
              <w:rPr>
                <w:rFonts w:asciiTheme="majorEastAsia" w:hAnsiTheme="majorEastAsia" w:eastAsiaTheme="majorEastAsia"/>
                <w:sz w:val="28"/>
                <w:szCs w:val="28"/>
              </w:rPr>
            </w:pPr>
            <w:r>
              <w:rPr>
                <w:rFonts w:hint="eastAsia"/>
                <w:sz w:val="24"/>
              </w:rPr>
              <w:t>报  价</w:t>
            </w:r>
          </w:p>
        </w:tc>
        <w:tc>
          <w:tcPr>
            <w:tcW w:w="7385" w:type="dxa"/>
            <w:gridSpan w:val="5"/>
            <w:shd w:val="clear" w:color="auto" w:fill="auto"/>
            <w:vAlign w:val="center"/>
          </w:tcPr>
          <w:p>
            <w:pPr>
              <w:pStyle w:val="3"/>
              <w:rPr>
                <w:rFonts w:asciiTheme="majorEastAsia" w:hAnsiTheme="majorEastAsia" w:eastAsiaTheme="majorEastAsia"/>
                <w:b/>
                <w:szCs w:val="21"/>
              </w:rPr>
            </w:pPr>
            <w:r>
              <w:rPr>
                <w:rFonts w:hint="eastAsia" w:asciiTheme="majorEastAsia" w:hAnsiTheme="majorEastAsia" w:eastAsiaTheme="majorEastAsia"/>
                <w:b/>
                <w:szCs w:val="21"/>
                <w:u w:val="single"/>
              </w:rPr>
              <w:t xml:space="preserve">                 </w:t>
            </w:r>
            <w:r>
              <w:rPr>
                <w:rFonts w:hint="eastAsia" w:asciiTheme="majorEastAsia" w:hAnsiTheme="majorEastAsia" w:eastAsiaTheme="majorEastAsia"/>
                <w:b/>
                <w:szCs w:val="21"/>
              </w:rPr>
              <w:t>元（大写：</w:t>
            </w:r>
            <w:r>
              <w:rPr>
                <w:rFonts w:hint="eastAsia" w:asciiTheme="majorEastAsia" w:hAnsiTheme="majorEastAsia" w:eastAsiaTheme="majorEastAsia"/>
                <w:b/>
                <w:szCs w:val="21"/>
                <w:u w:val="single"/>
              </w:rPr>
              <w:t xml:space="preserve">                          </w:t>
            </w:r>
            <w:r>
              <w:rPr>
                <w:rFonts w:hint="eastAsia" w:asciiTheme="majorEastAsia" w:hAnsiTheme="majorEastAsia" w:eastAsiaTheme="majorEastAsia"/>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jc w:val="center"/>
        </w:trPr>
        <w:tc>
          <w:tcPr>
            <w:tcW w:w="2175" w:type="dxa"/>
            <w:tcBorders>
              <w:top w:val="nil"/>
            </w:tcBorders>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质保期</w:t>
            </w:r>
          </w:p>
        </w:tc>
        <w:tc>
          <w:tcPr>
            <w:tcW w:w="7385" w:type="dxa"/>
            <w:gridSpan w:val="5"/>
            <w:tcBorders>
              <w:top w:val="nil"/>
            </w:tcBorders>
            <w:shd w:val="clear" w:color="auto" w:fill="auto"/>
            <w:vAlign w:val="center"/>
          </w:tcPr>
          <w:p>
            <w:pPr>
              <w:spacing w:line="360" w:lineRule="exact"/>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jc w:val="center"/>
        </w:trPr>
        <w:tc>
          <w:tcPr>
            <w:tcW w:w="2175" w:type="dxa"/>
            <w:tcBorders>
              <w:top w:val="nil"/>
            </w:tcBorders>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其他承诺</w:t>
            </w:r>
          </w:p>
        </w:tc>
        <w:tc>
          <w:tcPr>
            <w:tcW w:w="7385" w:type="dxa"/>
            <w:gridSpan w:val="5"/>
            <w:tcBorders>
              <w:top w:val="nil"/>
            </w:tcBorders>
            <w:shd w:val="clear" w:color="auto" w:fill="auto"/>
            <w:vAlign w:val="center"/>
          </w:tcPr>
          <w:p>
            <w:pPr>
              <w:spacing w:line="360" w:lineRule="exact"/>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8" w:hRule="atLeast"/>
          <w:jc w:val="center"/>
        </w:trPr>
        <w:tc>
          <w:tcPr>
            <w:tcW w:w="2175" w:type="dxa"/>
            <w:shd w:val="clear" w:color="auto" w:fill="auto"/>
            <w:vAlign w:val="center"/>
          </w:tcPr>
          <w:p>
            <w:pPr>
              <w:spacing w:line="3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备   注</w:t>
            </w:r>
          </w:p>
        </w:tc>
        <w:tc>
          <w:tcPr>
            <w:tcW w:w="7385" w:type="dxa"/>
            <w:gridSpan w:val="5"/>
            <w:shd w:val="clear" w:color="auto" w:fill="auto"/>
            <w:vAlign w:val="center"/>
          </w:tcPr>
          <w:p>
            <w:pPr>
              <w:spacing w:line="360" w:lineRule="exact"/>
              <w:rPr>
                <w:rFonts w:asciiTheme="majorEastAsia" w:hAnsiTheme="majorEastAsia" w:eastAsiaTheme="majorEastAsia"/>
                <w:sz w:val="28"/>
                <w:szCs w:val="28"/>
              </w:rPr>
            </w:pPr>
          </w:p>
        </w:tc>
      </w:tr>
    </w:tbl>
    <w:p>
      <w:pPr>
        <w:wordWrap w:val="0"/>
        <w:spacing w:line="276" w:lineRule="auto"/>
        <w:ind w:right="96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投标单位：                   </w:t>
      </w:r>
    </w:p>
    <w:p>
      <w:pPr>
        <w:wordWrap w:val="0"/>
        <w:spacing w:line="276" w:lineRule="auto"/>
        <w:ind w:right="96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委托代理人（签章）           </w:t>
      </w:r>
    </w:p>
    <w:p>
      <w:pPr>
        <w:wordWrap w:val="0"/>
        <w:spacing w:line="276" w:lineRule="auto"/>
        <w:ind w:right="120"/>
        <w:jc w:val="right"/>
      </w:pPr>
      <w:r>
        <w:rPr>
          <w:rFonts w:hint="eastAsia" w:asciiTheme="majorEastAsia" w:hAnsiTheme="majorEastAsia" w:eastAsiaTheme="majorEastAsia"/>
          <w:sz w:val="28"/>
          <w:szCs w:val="28"/>
        </w:rPr>
        <w:t xml:space="preserve">      时    间：</w:t>
      </w:r>
      <w:r>
        <w:rPr>
          <w:rFonts w:hint="eastAsia" w:hAnsi="宋体"/>
          <w:color w:val="000000"/>
        </w:rPr>
        <w:t xml:space="preserve">年     月    日 </w:t>
      </w:r>
      <w:r>
        <w:rPr>
          <w:rFonts w:hint="eastAsia" w:asciiTheme="majorEastAsia" w:hAnsiTheme="majorEastAsia" w:eastAsiaTheme="majorEastAsia"/>
          <w:sz w:val="28"/>
          <w:szCs w:val="28"/>
        </w:rPr>
        <w:t xml:space="preserve">             </w:t>
      </w:r>
    </w:p>
    <w:p>
      <w:pPr>
        <w:spacing w:line="480" w:lineRule="exact"/>
        <w:rPr>
          <w:rFonts w:asciiTheme="majorEastAsia" w:hAnsiTheme="majorEastAsia" w:eastAsiaTheme="majorEastAsia"/>
          <w:b/>
          <w:sz w:val="28"/>
        </w:rPr>
      </w:pPr>
    </w:p>
    <w:p>
      <w:pPr>
        <w:spacing w:line="480" w:lineRule="exact"/>
        <w:rPr>
          <w:rFonts w:asciiTheme="majorEastAsia" w:hAnsiTheme="majorEastAsia" w:eastAsiaTheme="majorEastAsia"/>
          <w:b/>
          <w:sz w:val="28"/>
        </w:rPr>
      </w:pP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2、项目技术参数</w:t>
      </w:r>
    </w:p>
    <w:p>
      <w:pPr>
        <w:rPr>
          <w:rFonts w:ascii="宋体" w:hAnsi="宋体"/>
          <w:sz w:val="28"/>
          <w:szCs w:val="28"/>
        </w:rPr>
      </w:pPr>
      <w:r>
        <w:rPr>
          <w:rFonts w:hint="eastAsia" w:ascii="宋体" w:hAnsi="宋体"/>
          <w:sz w:val="28"/>
          <w:szCs w:val="28"/>
        </w:rPr>
        <w:t>（一）</w:t>
      </w:r>
      <w:r>
        <w:rPr>
          <w:rFonts w:hint="eastAsia" w:ascii="Calibri" w:hAnsi="宋体"/>
          <w:sz w:val="28"/>
          <w:szCs w:val="28"/>
        </w:rPr>
        <w:t>财务管理系统（核算）</w:t>
      </w:r>
    </w:p>
    <w:tbl>
      <w:tblPr>
        <w:tblStyle w:val="7"/>
        <w:tblW w:w="10551" w:type="dxa"/>
        <w:jc w:val="center"/>
        <w:tblInd w:w="0" w:type="dxa"/>
        <w:tblLayout w:type="fixed"/>
        <w:tblCellMar>
          <w:top w:w="0" w:type="dxa"/>
          <w:left w:w="108" w:type="dxa"/>
          <w:bottom w:w="0" w:type="dxa"/>
          <w:right w:w="108" w:type="dxa"/>
        </w:tblCellMar>
      </w:tblPr>
      <w:tblGrid>
        <w:gridCol w:w="427"/>
        <w:gridCol w:w="426"/>
        <w:gridCol w:w="1088"/>
        <w:gridCol w:w="3082"/>
        <w:gridCol w:w="5528"/>
      </w:tblGrid>
      <w:tr>
        <w:tblPrEx>
          <w:tblLayout w:type="fixed"/>
          <w:tblCellMar>
            <w:top w:w="0" w:type="dxa"/>
            <w:left w:w="108" w:type="dxa"/>
            <w:bottom w:w="0" w:type="dxa"/>
            <w:right w:w="108" w:type="dxa"/>
          </w:tblCellMar>
        </w:tblPrEx>
        <w:trPr>
          <w:jc w:val="center"/>
        </w:trPr>
        <w:tc>
          <w:tcPr>
            <w:tcW w:w="4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kern w:val="0"/>
                <w:szCs w:val="21"/>
                <w:lang w:val="zh-CN"/>
              </w:rPr>
            </w:pPr>
            <w:r>
              <w:rPr>
                <w:rFonts w:hint="eastAsia" w:ascii="宋体" w:cs="宋体"/>
                <w:b/>
                <w:kern w:val="0"/>
                <w:szCs w:val="21"/>
                <w:lang w:val="zh-CN"/>
              </w:rPr>
              <w:t>项目</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kern w:val="0"/>
                <w:szCs w:val="21"/>
                <w:lang w:val="zh-CN"/>
              </w:rPr>
            </w:pPr>
            <w:r>
              <w:rPr>
                <w:rFonts w:hint="eastAsia" w:ascii="宋体" w:cs="宋体"/>
                <w:b/>
                <w:kern w:val="0"/>
                <w:szCs w:val="21"/>
                <w:lang w:val="zh-CN"/>
              </w:rPr>
              <w:t>序号</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kern w:val="0"/>
                <w:szCs w:val="21"/>
                <w:lang w:val="zh-CN"/>
              </w:rPr>
            </w:pPr>
            <w:r>
              <w:rPr>
                <w:rFonts w:hint="eastAsia" w:ascii="宋体" w:cs="宋体"/>
                <w:b/>
                <w:bCs/>
                <w:kern w:val="0"/>
                <w:szCs w:val="21"/>
                <w:lang w:val="zh-CN"/>
              </w:rPr>
              <w:t>功能点</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kern w:val="0"/>
                <w:szCs w:val="21"/>
                <w:lang w:val="zh-CN"/>
              </w:rPr>
            </w:pPr>
            <w:r>
              <w:rPr>
                <w:rFonts w:hint="eastAsia" w:ascii="宋体" w:cs="宋体"/>
                <w:b/>
                <w:bCs/>
                <w:kern w:val="0"/>
                <w:szCs w:val="21"/>
                <w:lang w:val="zh-CN"/>
              </w:rPr>
              <w:t>主要功能</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kern w:val="0"/>
                <w:szCs w:val="21"/>
                <w:lang w:val="zh-CN"/>
              </w:rPr>
            </w:pPr>
            <w:r>
              <w:rPr>
                <w:rFonts w:hint="eastAsia" w:ascii="宋体" w:cs="宋体"/>
                <w:b/>
                <w:bCs/>
                <w:kern w:val="0"/>
                <w:szCs w:val="21"/>
                <w:lang w:val="zh-CN"/>
              </w:rPr>
              <w:t>功能简述</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b/>
                <w:bCs/>
                <w:kern w:val="0"/>
                <w:szCs w:val="21"/>
              </w:rPr>
            </w:pPr>
            <w:r>
              <w:rPr>
                <w:rFonts w:hint="eastAsia" w:ascii="宋体" w:cs="宋体"/>
                <w:b/>
                <w:bCs/>
                <w:kern w:val="0"/>
                <w:szCs w:val="21"/>
                <w:lang w:val="zh-CN"/>
              </w:rPr>
              <w:t>基</w:t>
            </w:r>
          </w:p>
          <w:p>
            <w:pPr>
              <w:autoSpaceDE w:val="0"/>
              <w:autoSpaceDN w:val="0"/>
              <w:adjustRightInd w:val="0"/>
              <w:jc w:val="center"/>
              <w:rPr>
                <w:b/>
                <w:bCs/>
                <w:kern w:val="0"/>
                <w:szCs w:val="21"/>
              </w:rPr>
            </w:pPr>
          </w:p>
          <w:p>
            <w:pPr>
              <w:autoSpaceDE w:val="0"/>
              <w:autoSpaceDN w:val="0"/>
              <w:adjustRightInd w:val="0"/>
              <w:jc w:val="center"/>
              <w:rPr>
                <w:b/>
                <w:bCs/>
                <w:kern w:val="0"/>
                <w:szCs w:val="21"/>
              </w:rPr>
            </w:pPr>
            <w:r>
              <w:rPr>
                <w:rFonts w:hint="eastAsia" w:ascii="宋体" w:cs="宋体"/>
                <w:b/>
                <w:bCs/>
                <w:kern w:val="0"/>
                <w:szCs w:val="21"/>
                <w:lang w:val="zh-CN"/>
              </w:rPr>
              <w:t>础</w:t>
            </w:r>
          </w:p>
          <w:p>
            <w:pPr>
              <w:autoSpaceDE w:val="0"/>
              <w:autoSpaceDN w:val="0"/>
              <w:adjustRightInd w:val="0"/>
              <w:jc w:val="center"/>
              <w:rPr>
                <w:b/>
                <w:bCs/>
                <w:kern w:val="0"/>
                <w:szCs w:val="21"/>
              </w:rPr>
            </w:pPr>
          </w:p>
          <w:p>
            <w:pPr>
              <w:autoSpaceDE w:val="0"/>
              <w:autoSpaceDN w:val="0"/>
              <w:adjustRightInd w:val="0"/>
              <w:jc w:val="center"/>
              <w:rPr>
                <w:b/>
                <w:bCs/>
                <w:kern w:val="0"/>
                <w:szCs w:val="21"/>
              </w:rPr>
            </w:pPr>
            <w:r>
              <w:rPr>
                <w:rFonts w:hint="eastAsia" w:ascii="宋体" w:cs="宋体"/>
                <w:b/>
                <w:bCs/>
                <w:kern w:val="0"/>
                <w:szCs w:val="21"/>
                <w:lang w:val="zh-CN"/>
              </w:rPr>
              <w:t>代</w:t>
            </w:r>
          </w:p>
          <w:p>
            <w:pPr>
              <w:autoSpaceDE w:val="0"/>
              <w:autoSpaceDN w:val="0"/>
              <w:adjustRightInd w:val="0"/>
              <w:jc w:val="center"/>
              <w:rPr>
                <w:b/>
                <w:bCs/>
                <w:kern w:val="0"/>
                <w:szCs w:val="21"/>
              </w:rPr>
            </w:pPr>
          </w:p>
          <w:p>
            <w:pPr>
              <w:autoSpaceDE w:val="0"/>
              <w:autoSpaceDN w:val="0"/>
              <w:adjustRightInd w:val="0"/>
              <w:jc w:val="center"/>
              <w:rPr>
                <w:b/>
                <w:bCs/>
                <w:kern w:val="0"/>
                <w:szCs w:val="21"/>
              </w:rPr>
            </w:pPr>
            <w:r>
              <w:rPr>
                <w:rFonts w:hint="eastAsia" w:ascii="宋体" w:cs="宋体"/>
                <w:b/>
                <w:bCs/>
                <w:kern w:val="0"/>
                <w:szCs w:val="21"/>
                <w:lang w:val="zh-CN"/>
              </w:rPr>
              <w:t>码</w:t>
            </w:r>
          </w:p>
          <w:p>
            <w:pPr>
              <w:autoSpaceDE w:val="0"/>
              <w:autoSpaceDN w:val="0"/>
              <w:adjustRightInd w:val="0"/>
              <w:jc w:val="center"/>
              <w:rPr>
                <w:b/>
                <w:bCs/>
                <w:kern w:val="0"/>
                <w:szCs w:val="21"/>
              </w:rPr>
            </w:pPr>
          </w:p>
          <w:p>
            <w:pPr>
              <w:autoSpaceDE w:val="0"/>
              <w:autoSpaceDN w:val="0"/>
              <w:adjustRightInd w:val="0"/>
              <w:jc w:val="center"/>
              <w:rPr>
                <w:b/>
                <w:bCs/>
                <w:kern w:val="0"/>
                <w:szCs w:val="21"/>
              </w:rPr>
            </w:pPr>
            <w:r>
              <w:rPr>
                <w:rFonts w:hint="eastAsia" w:ascii="宋体" w:cs="宋体"/>
                <w:b/>
                <w:bCs/>
                <w:kern w:val="0"/>
                <w:szCs w:val="21"/>
                <w:lang w:val="zh-CN"/>
              </w:rPr>
              <w:t>设</w:t>
            </w:r>
          </w:p>
          <w:p>
            <w:pPr>
              <w:autoSpaceDE w:val="0"/>
              <w:autoSpaceDN w:val="0"/>
              <w:adjustRightInd w:val="0"/>
              <w:jc w:val="center"/>
              <w:rPr>
                <w:b/>
                <w:bCs/>
                <w:kern w:val="0"/>
                <w:szCs w:val="21"/>
              </w:rPr>
            </w:pPr>
          </w:p>
          <w:p>
            <w:pPr>
              <w:autoSpaceDE w:val="0"/>
              <w:autoSpaceDN w:val="0"/>
              <w:adjustRightInd w:val="0"/>
              <w:jc w:val="center"/>
              <w:rPr>
                <w:rFonts w:ascii="宋体" w:cs="宋体"/>
                <w:kern w:val="0"/>
                <w:szCs w:val="21"/>
                <w:lang w:val="zh-CN"/>
              </w:rPr>
            </w:pPr>
            <w:r>
              <w:rPr>
                <w:rFonts w:hint="eastAsia" w:ascii="宋体" w:cs="宋体"/>
                <w:b/>
                <w:bCs/>
                <w:kern w:val="0"/>
                <w:szCs w:val="21"/>
                <w:lang w:val="zh-CN"/>
              </w:rPr>
              <w:t>置</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会计科目设置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科目的增加/删除/修改/打印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科目复制</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科目信息批量生成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科目（可按条件）导入导出</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完成对会计科目的设立和管理，会计科目的设置是核算工作的最基础设置。可设置的辅助核算包括：往来对冲、往来单位、部门、项目、国库科目、资产对账、现金流量、网银、合同核算、辅助科目，以及查询属性、自定义项</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财政辅助科目设置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财政辅助科目的增加、删除、修改或打印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科目导入导出</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科目信息批量生成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完成对财政辅助科目的设立和管理，包括总科目及其下级明细科目，用于会计信息录入的拓展，设置功能包括功能科目、财政支出、预算类型、预算来源等要素</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经济分类科目设置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经济分类科目增加、删除、修改、打印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科目导入导出（按条件）</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完成对经济分类支出科目的设立和管理，包括总科目及其下级明细科目。作为会计凭证录入的拓展信息，体现的是财政资金的用途</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结算方式设置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结算方式增加、删除、修改和打印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网银结算方式的设定</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增加、删除、修改结算方式，</w:t>
            </w:r>
            <w:r>
              <w:rPr>
                <w:rFonts w:ascii="宋体" w:cs="宋体"/>
                <w:kern w:val="0"/>
                <w:szCs w:val="21"/>
                <w:lang w:val="zh-CN"/>
              </w:rPr>
              <w:t>“</w:t>
            </w:r>
            <w:r>
              <w:rPr>
                <w:rFonts w:hint="eastAsia" w:ascii="宋体" w:cs="宋体"/>
                <w:kern w:val="0"/>
                <w:szCs w:val="21"/>
                <w:lang w:val="zh-CN"/>
              </w:rPr>
              <w:t>结算方式</w:t>
            </w:r>
            <w:r>
              <w:rPr>
                <w:rFonts w:ascii="宋体" w:cs="宋体"/>
                <w:kern w:val="0"/>
                <w:szCs w:val="21"/>
                <w:lang w:val="zh-CN"/>
              </w:rPr>
              <w:t>”</w:t>
            </w:r>
            <w:r>
              <w:rPr>
                <w:rFonts w:hint="eastAsia" w:ascii="宋体" w:cs="宋体"/>
                <w:kern w:val="0"/>
                <w:szCs w:val="21"/>
                <w:lang w:val="zh-CN"/>
              </w:rPr>
              <w:t>是银行业务会计凭证的分录辅助信息，体现于</w:t>
            </w:r>
            <w:r>
              <w:rPr>
                <w:rFonts w:ascii="宋体" w:cs="宋体"/>
                <w:kern w:val="0"/>
                <w:szCs w:val="21"/>
                <w:lang w:val="zh-CN"/>
              </w:rPr>
              <w:t>“</w:t>
            </w:r>
            <w:r>
              <w:rPr>
                <w:rFonts w:hint="eastAsia" w:ascii="宋体" w:cs="宋体"/>
                <w:kern w:val="0"/>
                <w:szCs w:val="21"/>
                <w:lang w:val="zh-CN"/>
              </w:rPr>
              <w:t>银行日记账</w:t>
            </w:r>
            <w:r>
              <w:rPr>
                <w:rFonts w:ascii="宋体" w:cs="宋体"/>
                <w:kern w:val="0"/>
                <w:szCs w:val="21"/>
                <w:lang w:val="zh-CN"/>
              </w:rPr>
              <w:t>”</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凭证类别</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凭证类别增加、删除、修改和打印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打印格式指定、限制科目指定、凭证字</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增加、删除、修改凭证类型，凭证类型是凭证存放、凭证装订、凭证查询的单位</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凭证来源设置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凭证来源信息的增加、删除、修改和打印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财务系统与周边系统的业务关联，会计凭证可来源与财务系统相关联的其他系统，在其他系统完成的特定业务处理在财务中自动生成凭证</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资产类别设置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资产类别信息的增加、删除、修改和打印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增加、删除、修改资产类别代码，对于设置为</w:t>
            </w:r>
            <w:r>
              <w:rPr>
                <w:rFonts w:ascii="宋体" w:cs="宋体"/>
                <w:kern w:val="0"/>
                <w:szCs w:val="21"/>
                <w:lang w:val="zh-CN"/>
              </w:rPr>
              <w:t>“</w:t>
            </w:r>
            <w:r>
              <w:rPr>
                <w:rFonts w:hint="eastAsia" w:ascii="宋体" w:cs="宋体"/>
                <w:kern w:val="0"/>
                <w:szCs w:val="21"/>
                <w:lang w:val="zh-CN"/>
              </w:rPr>
              <w:t>资产对帐</w:t>
            </w:r>
            <w:r>
              <w:rPr>
                <w:rFonts w:ascii="宋体" w:cs="宋体"/>
                <w:kern w:val="0"/>
                <w:szCs w:val="21"/>
                <w:lang w:val="zh-CN"/>
              </w:rPr>
              <w:t>”</w:t>
            </w:r>
            <w:r>
              <w:rPr>
                <w:rFonts w:hint="eastAsia" w:ascii="宋体" w:cs="宋体"/>
                <w:kern w:val="0"/>
                <w:szCs w:val="21"/>
                <w:lang w:val="zh-CN"/>
              </w:rPr>
              <w:t>类科目，凭证录入时需要录入资产类别代码作为辅助信息</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常用摘要定义</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摘要字典的增加、删除、修改和打印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增加、删除、修改各种常用摘要。在填制会计凭证时可随时调用，必将大大提高业务处理效率</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9</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常用凭证定义</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常用凭证模板的新增、修改、删除与打印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模板明细的定义，包括科目、部门、项目、辅助科目、方向、比例等</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增加、删除、修改各种常用凭证的模板。在录入会计凭证时可随时调用，提高的凭证录入的效率</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10</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项目分配模板</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项目分配模板的新增、修改、删除与打印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模板明细的定义，包括科目、部门、项目、辅助科目、方向、比例、分配对象等</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增加、删除、修改各种常用的项目收入分配模式，对于项目收入的分配可直接按收入总金额生成凭证</w:t>
            </w:r>
          </w:p>
          <w:p>
            <w:pPr>
              <w:autoSpaceDE w:val="0"/>
              <w:autoSpaceDN w:val="0"/>
              <w:adjustRightInd w:val="0"/>
              <w:rPr>
                <w:rFonts w:ascii="宋体" w:cs="宋体"/>
                <w:kern w:val="0"/>
                <w:szCs w:val="21"/>
                <w:lang w:val="zh-CN"/>
              </w:rPr>
            </w:pPr>
            <w:r>
              <w:rPr>
                <w:rFonts w:hint="eastAsia" w:ascii="宋体" w:cs="宋体"/>
                <w:kern w:val="0"/>
                <w:szCs w:val="21"/>
                <w:lang w:val="zh-CN"/>
              </w:rPr>
              <w:t>应包括科研收入凭证</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国库辅助代码设置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国库支付辅助代码的新增、修改、删除与打印</w:t>
            </w:r>
          </w:p>
          <w:p>
            <w:pPr>
              <w:numPr>
                <w:ilvl w:val="0"/>
                <w:numId w:val="2"/>
              </w:numPr>
              <w:autoSpaceDE w:val="0"/>
              <w:autoSpaceDN w:val="0"/>
              <w:adjustRightInd w:val="0"/>
              <w:ind w:left="260" w:hanging="284"/>
              <w:rPr>
                <w:rFonts w:ascii="宋体" w:cs="宋体"/>
                <w:kern w:val="0"/>
                <w:szCs w:val="21"/>
                <w:lang w:val="zh-CN"/>
              </w:rPr>
            </w:pP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增加、删除、修改各类国库支付辅助代码，包括预算类型、类款项、支出类型、经济分类、预算属性等代码，是录入</w:t>
            </w:r>
            <w:r>
              <w:rPr>
                <w:rFonts w:ascii="宋体" w:cs="宋体"/>
                <w:kern w:val="0"/>
                <w:szCs w:val="21"/>
                <w:lang w:val="zh-CN"/>
              </w:rPr>
              <w:t>“</w:t>
            </w:r>
            <w:r>
              <w:rPr>
                <w:rFonts w:hint="eastAsia" w:ascii="宋体" w:cs="宋体"/>
                <w:kern w:val="0"/>
                <w:szCs w:val="21"/>
                <w:lang w:val="zh-CN"/>
              </w:rPr>
              <w:t>国库支付</w:t>
            </w:r>
            <w:r>
              <w:rPr>
                <w:rFonts w:ascii="宋体" w:cs="宋体"/>
                <w:kern w:val="0"/>
                <w:szCs w:val="21"/>
                <w:lang w:val="zh-CN"/>
              </w:rPr>
              <w:t>”</w:t>
            </w:r>
            <w:r>
              <w:rPr>
                <w:rFonts w:hint="eastAsia" w:ascii="宋体" w:cs="宋体"/>
                <w:kern w:val="0"/>
                <w:szCs w:val="21"/>
                <w:lang w:val="zh-CN"/>
              </w:rPr>
              <w:t>业务凭证的辅助信息</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部门设置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部门代码的新增、修改、删除与打印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增加、删除、修改部门代码，定义学校各部门的部门编号及其信息，可分级设置，用于对项目进行归属</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人员设置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人员信息的增\改\删\打印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工资系统人员传输</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收费系统人员传输</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从工资系统、学生收费系统导入职工、学生人员信息，主要用来满足往来款责任人或项目负责人的制定</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项目信息的新增、修改、删除与打印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批量立项目（可导入）</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项目复制</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项目合并与结题处理</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项目负责人设置</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项目签章设置</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项目超支控制</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8880"/>
              </w:tabs>
              <w:autoSpaceDE w:val="0"/>
              <w:autoSpaceDN w:val="0"/>
              <w:adjustRightInd w:val="0"/>
              <w:ind w:firstLine="420"/>
              <w:rPr>
                <w:rFonts w:ascii="宋体" w:cs="宋体"/>
                <w:kern w:val="0"/>
                <w:szCs w:val="21"/>
                <w:lang w:val="zh-CN"/>
              </w:rPr>
            </w:pPr>
            <w:r>
              <w:rPr>
                <w:rFonts w:hint="eastAsia" w:ascii="宋体" w:cs="宋体"/>
                <w:kern w:val="0"/>
                <w:szCs w:val="21"/>
                <w:lang w:val="zh-CN"/>
              </w:rPr>
              <w:t>需要作经费指标控制的对象，比如预算经费、科研经费、代管经费或是单位基金、基建、专款等等。项目和科目联合使用，可以同时达到核算和控制两方面作用通过项目帐，我们又可以得到每个项目的发生额和余额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项目辅助信息设置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项目大类设置</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项目类型设置</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年终转账类型的定义</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项目统计的设置</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包括项目大类、项目类型、转账分类、统计属性、项目额度分类、</w:t>
            </w:r>
            <w:r>
              <w:rPr>
                <w:rFonts w:hint="eastAsia" w:ascii="宋体" w:cs="宋体"/>
                <w:color w:val="000000"/>
                <w:kern w:val="0"/>
                <w:szCs w:val="21"/>
                <w:lang w:val="zh-CN"/>
              </w:rPr>
              <w:t>资金来源设置，</w:t>
            </w:r>
            <w:r>
              <w:rPr>
                <w:rFonts w:hint="eastAsia" w:ascii="宋体" w:cs="宋体"/>
                <w:kern w:val="0"/>
                <w:szCs w:val="21"/>
                <w:lang w:val="zh-CN"/>
              </w:rPr>
              <w:t>这些是项目的辅助信息，主要用于项目账的统计与查询以精细控制</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依据控制内容的不同设置额度字典的分类</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额度项目的新增、修改、删除与打印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设置是否比例控制、浮动控制及具体比例或限额</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在项目整体不超支的前提下，按项目预算进一步控制到支出科目上，以达到细化预算控制和项目结题审计的需要，比如</w:t>
            </w:r>
            <w:r>
              <w:rPr>
                <w:kern w:val="0"/>
                <w:szCs w:val="21"/>
              </w:rPr>
              <w:t xml:space="preserve"> </w:t>
            </w:r>
            <w:r>
              <w:rPr>
                <w:rFonts w:ascii="宋体" w:cs="宋体"/>
                <w:kern w:val="0"/>
                <w:szCs w:val="21"/>
                <w:lang w:val="zh-CN"/>
              </w:rPr>
              <w:t>“</w:t>
            </w:r>
            <w:r>
              <w:rPr>
                <w:rFonts w:hint="eastAsia" w:ascii="宋体" w:cs="宋体"/>
                <w:kern w:val="0"/>
                <w:szCs w:val="21"/>
                <w:lang w:val="zh-CN"/>
              </w:rPr>
              <w:t>设备购置费</w:t>
            </w:r>
            <w:r>
              <w:rPr>
                <w:rFonts w:ascii="宋体" w:cs="宋体"/>
                <w:kern w:val="0"/>
                <w:szCs w:val="21"/>
                <w:lang w:val="zh-CN"/>
              </w:rPr>
              <w:t>”</w:t>
            </w:r>
            <w:r>
              <w:rPr>
                <w:rFonts w:hint="eastAsia" w:ascii="宋体" w:cs="宋体"/>
                <w:kern w:val="0"/>
                <w:szCs w:val="21"/>
                <w:lang w:val="zh-CN"/>
              </w:rPr>
              <w:t>、</w:t>
            </w:r>
            <w:r>
              <w:rPr>
                <w:rFonts w:ascii="宋体" w:cs="宋体"/>
                <w:kern w:val="0"/>
                <w:szCs w:val="21"/>
                <w:lang w:val="zh-CN"/>
              </w:rPr>
              <w:t>“</w:t>
            </w:r>
            <w:r>
              <w:rPr>
                <w:rFonts w:hint="eastAsia" w:ascii="宋体" w:cs="宋体"/>
                <w:kern w:val="0"/>
                <w:szCs w:val="21"/>
                <w:lang w:val="zh-CN"/>
              </w:rPr>
              <w:t>劳务费</w:t>
            </w:r>
            <w:r>
              <w:rPr>
                <w:rFonts w:ascii="宋体" w:cs="宋体"/>
                <w:kern w:val="0"/>
                <w:szCs w:val="21"/>
                <w:lang w:val="zh-CN"/>
              </w:rPr>
              <w:t>”</w:t>
            </w:r>
            <w:r>
              <w:rPr>
                <w:rFonts w:hint="eastAsia" w:ascii="宋体" w:cs="宋体"/>
                <w:kern w:val="0"/>
                <w:szCs w:val="21"/>
                <w:lang w:val="zh-CN"/>
              </w:rPr>
              <w:t>或</w:t>
            </w:r>
            <w:r>
              <w:rPr>
                <w:rFonts w:ascii="宋体" w:cs="宋体"/>
                <w:kern w:val="0"/>
                <w:szCs w:val="21"/>
                <w:lang w:val="zh-CN"/>
              </w:rPr>
              <w:t>“</w:t>
            </w:r>
            <w:r>
              <w:rPr>
                <w:rFonts w:hint="eastAsia" w:ascii="宋体" w:cs="宋体"/>
                <w:kern w:val="0"/>
                <w:szCs w:val="21"/>
                <w:lang w:val="zh-CN"/>
              </w:rPr>
              <w:t>招待费</w:t>
            </w:r>
            <w:r>
              <w:rPr>
                <w:rFonts w:ascii="宋体" w:cs="宋体"/>
                <w:kern w:val="0"/>
                <w:szCs w:val="21"/>
                <w:lang w:val="zh-CN"/>
              </w:rPr>
              <w:t>”</w:t>
            </w:r>
            <w:r>
              <w:rPr>
                <w:rFonts w:hint="eastAsia" w:ascii="宋体" w:cs="宋体"/>
                <w:kern w:val="0"/>
                <w:szCs w:val="21"/>
                <w:lang w:val="zh-CN"/>
              </w:rPr>
              <w:t>等支出不能超过某种限额或比例</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科研项目设置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科研项目的新增、修改、删除与打印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设置科研项目与财务项目的对照或关联关系</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科研项目辅助信息，包括密级、资金来源等</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用于从科研项目层面对财务核算项目进行归集统计或额度总控（一个科研项目是指主体项目可能包括若干在财务核算中控制的项目）</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工程项目设置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420"/>
              </w:tabs>
              <w:autoSpaceDE w:val="0"/>
              <w:autoSpaceDN w:val="0"/>
              <w:adjustRightInd w:val="0"/>
              <w:ind w:left="420" w:hanging="420"/>
              <w:rPr>
                <w:kern w:val="0"/>
                <w:szCs w:val="21"/>
              </w:rPr>
            </w:pPr>
            <w:r>
              <w:rPr>
                <w:rFonts w:hint="eastAsia" w:ascii="宋体" w:cs="宋体"/>
                <w:kern w:val="0"/>
                <w:szCs w:val="21"/>
                <w:lang w:val="zh-CN"/>
              </w:rPr>
              <w:t>基建工程的增加、删除、修改和打印</w:t>
            </w:r>
          </w:p>
          <w:p>
            <w:pPr>
              <w:tabs>
                <w:tab w:val="left" w:pos="420"/>
              </w:tabs>
              <w:autoSpaceDE w:val="0"/>
              <w:autoSpaceDN w:val="0"/>
              <w:adjustRightInd w:val="0"/>
              <w:ind w:left="420" w:hanging="420"/>
              <w:rPr>
                <w:kern w:val="0"/>
                <w:szCs w:val="21"/>
              </w:rPr>
            </w:pPr>
            <w:r>
              <w:rPr>
                <w:rFonts w:hint="eastAsia" w:ascii="宋体" w:cs="宋体"/>
                <w:kern w:val="0"/>
                <w:szCs w:val="21"/>
                <w:lang w:val="zh-CN"/>
              </w:rPr>
              <w:t>工程信息的导入导出</w:t>
            </w:r>
          </w:p>
          <w:p>
            <w:pPr>
              <w:tabs>
                <w:tab w:val="left" w:pos="420"/>
              </w:tabs>
              <w:autoSpaceDE w:val="0"/>
              <w:autoSpaceDN w:val="0"/>
              <w:adjustRightInd w:val="0"/>
              <w:ind w:left="420" w:hanging="420"/>
              <w:rPr>
                <w:rFonts w:ascii="宋体" w:cs="宋体"/>
                <w:kern w:val="0"/>
                <w:szCs w:val="21"/>
                <w:lang w:val="zh-CN"/>
              </w:rPr>
            </w:pPr>
            <w:r>
              <w:rPr>
                <w:rFonts w:hint="eastAsia" w:ascii="宋体" w:cs="宋体"/>
                <w:kern w:val="0"/>
                <w:szCs w:val="21"/>
                <w:lang w:val="zh-CN"/>
              </w:rPr>
              <w:t>工程项目辅助信息设置</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完成对基建工程的设置（指主体工程），下面分为若干具体项目，这些项目构成主体工程的概算</w:t>
            </w:r>
          </w:p>
          <w:p>
            <w:pPr>
              <w:autoSpaceDE w:val="0"/>
              <w:autoSpaceDN w:val="0"/>
              <w:adjustRightInd w:val="0"/>
              <w:rPr>
                <w:rFonts w:ascii="宋体" w:cs="宋体"/>
                <w:kern w:val="0"/>
                <w:szCs w:val="21"/>
                <w:lang w:val="zh-CN"/>
              </w:rPr>
            </w:pPr>
            <w:r>
              <w:rPr>
                <w:rFonts w:hint="eastAsia" w:ascii="宋体" w:cs="宋体"/>
                <w:kern w:val="0"/>
                <w:szCs w:val="21"/>
                <w:lang w:val="zh-CN"/>
              </w:rPr>
              <w:t>工程项目辅助信息设置，包括工程性质代码、投资来源代码、投资构成代码等</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20</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往来单位设置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往来单位的新增、修改、删除与打印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往来科目（应收账款、应付账款）核算时所用到的辅助信息，可按往来单位统计债权债务</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合同类型设置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合同类型的增加、删除、修改和打印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合同管理的辅助信息</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银行台账设置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台账银行的增加、删除、修改和打印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台账银行的名称、账号</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银行台账是出纳的辅助管理功能，包括银行台账的登记、认领、确认收入、转入暂存、暂存转收入等流程，简化了出纳工作</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系统参数设置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系统运行的必要参数，有</w:t>
            </w:r>
            <w:r>
              <w:rPr>
                <w:kern w:val="0"/>
                <w:szCs w:val="21"/>
              </w:rPr>
              <w:t>20</w:t>
            </w:r>
            <w:r>
              <w:rPr>
                <w:rFonts w:hint="eastAsia" w:ascii="宋体" w:cs="宋体"/>
                <w:kern w:val="0"/>
                <w:szCs w:val="21"/>
                <w:lang w:val="zh-CN"/>
              </w:rPr>
              <w:t>几项目参数，包括凭证参数、科目参数、部门项目参数、国库科目参数、会计期间、其他参数等</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现金流量定义</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现金流量项目的增加、删除、修改和打印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项目间的计算关系定义</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对于现金、银行存款、零余额账户科目可设置现金流量辅助核算，按月可生成现金流量表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转账凭证定义</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转账凭证的增加、删除、修改和打印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转账明细的具体定义，包括转入</w:t>
            </w:r>
            <w:r>
              <w:rPr>
                <w:kern w:val="0"/>
                <w:szCs w:val="21"/>
              </w:rPr>
              <w:t>/</w:t>
            </w:r>
            <w:r>
              <w:rPr>
                <w:rFonts w:hint="eastAsia" w:ascii="宋体" w:cs="宋体"/>
                <w:kern w:val="0"/>
                <w:szCs w:val="21"/>
                <w:lang w:val="zh-CN"/>
              </w:rPr>
              <w:t>转出科目、取数类型、项目转账分类等</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年终转账将由系统自动完成，所以要对转账模板进行定义</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数据初始化</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科目余额初始化</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科目年初余额录入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科目年初余额校验</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在开始使用系统之前，应先将各级科目的年初余额数据录入系统</w:t>
            </w:r>
            <w:r>
              <w:rPr>
                <w:kern w:val="0"/>
                <w:szCs w:val="21"/>
              </w:rPr>
              <w:t xml:space="preserve"> </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项目余额初始化</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项目年初余额录入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项目总账、总账校验</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在开始使用系统之前，应将各项目的年初结余数据录入系统</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往来账初始化</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未还清暂付款初始化</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未转出暂存款初始化</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将截止到用系统之前，未还清往来款明细录入系统，以便今后还款时对冲</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项目额度初始</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项目额度年初结余录入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项目额度年初结余导入</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将截止到用系统之前，将各项目未使用完的剩余额度录入系统，以便今后继续控制</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凭证管理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凭证录入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凭证的录入、修改、删除、对冲、复制、作废等</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凭证保存模板、通过模板生成凭证</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凭证的输出与接收</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校内人员其他收入制单</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校外人员劳务费制单</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学生劳务费制单</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银行来款业务制单</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校内网上预约报销制单</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自助式报账</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这是软件的核心功能，会计业务通过</w:t>
            </w:r>
            <w:r>
              <w:rPr>
                <w:rFonts w:ascii="宋体" w:cs="宋体"/>
                <w:kern w:val="0"/>
                <w:szCs w:val="21"/>
                <w:lang w:val="zh-CN"/>
              </w:rPr>
              <w:t>“</w:t>
            </w:r>
            <w:r>
              <w:rPr>
                <w:rFonts w:hint="eastAsia" w:ascii="宋体" w:cs="宋体"/>
                <w:kern w:val="0"/>
                <w:szCs w:val="21"/>
                <w:lang w:val="zh-CN"/>
              </w:rPr>
              <w:t>凭证</w:t>
            </w:r>
            <w:r>
              <w:rPr>
                <w:rFonts w:ascii="宋体" w:cs="宋体"/>
                <w:kern w:val="0"/>
                <w:szCs w:val="21"/>
                <w:lang w:val="zh-CN"/>
              </w:rPr>
              <w:t>”</w:t>
            </w:r>
            <w:r>
              <w:rPr>
                <w:rFonts w:hint="eastAsia" w:ascii="宋体" w:cs="宋体"/>
                <w:kern w:val="0"/>
                <w:szCs w:val="21"/>
                <w:lang w:val="zh-CN"/>
              </w:rPr>
              <w:t>方式输入系统。凭证录入具有多种辅助业务处理、经费实时控制和随机查询功能，并支持</w:t>
            </w:r>
            <w:r>
              <w:rPr>
                <w:kern w:val="0"/>
                <w:szCs w:val="21"/>
              </w:rPr>
              <w:t>IC</w:t>
            </w:r>
            <w:r>
              <w:rPr>
                <w:rFonts w:hint="eastAsia" w:ascii="宋体" w:cs="宋体"/>
                <w:kern w:val="0"/>
                <w:szCs w:val="21"/>
                <w:lang w:val="zh-CN"/>
              </w:rPr>
              <w:t>卡读写</w:t>
            </w:r>
            <w:r>
              <w:rPr>
                <w:kern w:val="0"/>
                <w:szCs w:val="21"/>
              </w:rPr>
              <w:t xml:space="preserve"> </w:t>
            </w:r>
          </w:p>
          <w:p>
            <w:pPr>
              <w:autoSpaceDE w:val="0"/>
              <w:autoSpaceDN w:val="0"/>
              <w:adjustRightInd w:val="0"/>
              <w:rPr>
                <w:rFonts w:ascii="宋体" w:cs="宋体"/>
                <w:kern w:val="0"/>
                <w:szCs w:val="21"/>
                <w:lang w:val="zh-CN"/>
              </w:rPr>
            </w:pPr>
            <w:r>
              <w:rPr>
                <w:rFonts w:hint="eastAsia" w:ascii="宋体" w:cs="宋体"/>
                <w:kern w:val="0"/>
                <w:szCs w:val="21"/>
                <w:lang w:val="zh-CN"/>
              </w:rPr>
              <w:t>至少应包括：科研收入凭证、调账凭证、管理费凭证、结题凭证、结转凭证</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凭证复核</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凭证复核</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凭证取消复核</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复核录入的凭证，对凭证进行正确性校验，这是凭证</w:t>
            </w:r>
            <w:r>
              <w:rPr>
                <w:rFonts w:ascii="宋体" w:cs="宋体"/>
                <w:kern w:val="0"/>
                <w:szCs w:val="21"/>
                <w:lang w:val="zh-CN"/>
              </w:rPr>
              <w:t>“</w:t>
            </w:r>
            <w:r>
              <w:rPr>
                <w:rFonts w:hint="eastAsia" w:ascii="宋体" w:cs="宋体"/>
                <w:kern w:val="0"/>
                <w:szCs w:val="21"/>
                <w:lang w:val="zh-CN"/>
              </w:rPr>
              <w:t>记账</w:t>
            </w:r>
            <w:r>
              <w:rPr>
                <w:rFonts w:ascii="宋体" w:cs="宋体"/>
                <w:kern w:val="0"/>
                <w:szCs w:val="21"/>
                <w:lang w:val="zh-CN"/>
              </w:rPr>
              <w:t>”</w:t>
            </w:r>
            <w:r>
              <w:rPr>
                <w:rFonts w:hint="eastAsia" w:ascii="宋体" w:cs="宋体"/>
                <w:kern w:val="0"/>
                <w:szCs w:val="21"/>
                <w:lang w:val="zh-CN"/>
              </w:rPr>
              <w:t>的前提</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凭证查询</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查询条件的设置</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查询结果的生成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通过在界面上选择或输入条件，进行凭证的查询</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凭证记账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凭证记账前的正确性检测</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凭证记账</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凭证反记账</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将凭证数据记入总账、明细账、日记账、部门账、项目账以及往来账等</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凭证打印</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单张打印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批量打印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各种支出单据打印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将凭证打印存档，并由会计、经手人、出纳等人签字</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凭证导入</w:t>
            </w:r>
            <w:r>
              <w:rPr>
                <w:kern w:val="0"/>
                <w:szCs w:val="21"/>
              </w:rPr>
              <w:t>/</w:t>
            </w:r>
            <w:r>
              <w:rPr>
                <w:rFonts w:hint="eastAsia" w:ascii="宋体" w:cs="宋体"/>
                <w:kern w:val="0"/>
                <w:szCs w:val="21"/>
                <w:lang w:val="zh-CN"/>
              </w:rPr>
              <w:t>导出</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凭证导出</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凭证导入</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将本账套的凭证导出，或将其他账套的凭证导入完成数据合并</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凭证汇总表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汇总条件的设置</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汇总结果的生成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装订凭证必用的统计表，可分级次、时间段、凭证号段生成打印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凭证绩效</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工作量统计</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录入错误统计</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对一段时间内每名操作员的凭证录入张数、笔数、单据数、以及错误率作出统计，协助领导作出绩效考核</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出纳管理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现金、银行日记账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生成条件的设置</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日记账的生成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出纳通过生成</w:t>
            </w:r>
            <w:r>
              <w:rPr>
                <w:rFonts w:ascii="宋体" w:cs="宋体"/>
                <w:kern w:val="0"/>
                <w:szCs w:val="21"/>
                <w:lang w:val="zh-CN"/>
              </w:rPr>
              <w:t>“</w:t>
            </w:r>
            <w:r>
              <w:rPr>
                <w:rFonts w:hint="eastAsia" w:ascii="宋体" w:cs="宋体"/>
                <w:kern w:val="0"/>
                <w:szCs w:val="21"/>
                <w:lang w:val="zh-CN"/>
              </w:rPr>
              <w:t>现金／银行日记帐</w:t>
            </w:r>
            <w:r>
              <w:rPr>
                <w:rFonts w:ascii="宋体" w:cs="宋体"/>
                <w:kern w:val="0"/>
                <w:szCs w:val="21"/>
                <w:lang w:val="zh-CN"/>
              </w:rPr>
              <w:t>”</w:t>
            </w:r>
            <w:r>
              <w:rPr>
                <w:rFonts w:hint="eastAsia" w:ascii="宋体" w:cs="宋体"/>
                <w:kern w:val="0"/>
                <w:szCs w:val="21"/>
                <w:lang w:val="zh-CN"/>
              </w:rPr>
              <w:t>进行查询统计</w:t>
            </w:r>
            <w:r>
              <w:rPr>
                <w:kern w:val="0"/>
                <w:szCs w:val="21"/>
              </w:rPr>
              <w:t xml:space="preserve"> </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资金日报表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当天资金收支余情况汇总生成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当天资金收支余情况明细生成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统计当天现金／银行收支结存情况，进行有效管理</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电子支付日报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当天凭证网上银行转账信息的明细生成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信息导出</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统计当天网银转账录入的信息，包括对公和对私，比如姓名、卡号、对方单位、开户行、账号等，导出后给银行集中转账</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出纳复核</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现金、银行出纳复核</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现金、银行出纳取消复核</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在出纳真正结算现金或银行之前，再次复核，以确保业务处理的正确性</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现金流量项目录入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现金流量项目录入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现金流量项目计算与保存</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对于现金、银行存款、零余额账户科目的业务，出纳补录现金流量项目，以生成现金流量表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支票借据管理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借据类型设置</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支票借据录入、修改、删除</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支票借据复核（核销）</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限额支票的借据单提供管理和查询，包括借和冲销，并影响项目余额起到控制作用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银行台账管理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来款登记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来款认领处理</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银行台账查询</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登记暂时无法确定收入的银行来款，待确定后自动转为收入</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账表打印</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总账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总账查询</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总账打印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可输入条件，查询、打印总账</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科目余额表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按科目生成各级次余额表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按部门、项目生成科目余额表</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可设置条件，生成科目余额表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辅助科目余额表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生成财政辅助科目余额表</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可设置条件，生成财政辅助科目余额表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经济分类科目余额表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生成经济分类支出科目余额表</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可设置条件，生成经济分类科目余额表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凭证综合查询</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自由设置查询条件、选择显示列和排序方式</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生成查询结果</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一种用户自定义条件、使用灵活的凭证查询模式，生成的结果可导出</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明细账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明细账查询（树状）</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明细账打印（账页）</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科目明细的查询与打印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财政辅助科目明细账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财政辅助科目明细账查询（树状）</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财政辅助科目明细账打印（账页）</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财政辅助科目明细的查询与打印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经济分类支出科目明细账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分类支出科目明细账查询（树状）</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分类支出科目明细账打印（账页）</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经济分类支出科目明细账的查询与打印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9</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现金流量表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现金流量表生成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现金流量表导出</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现金流量表的生成</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10</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资产对账单</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资产对账单生成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导出资产对账单</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处理</w:t>
            </w:r>
            <w:r>
              <w:rPr>
                <w:rFonts w:ascii="宋体" w:cs="宋体"/>
                <w:kern w:val="0"/>
                <w:szCs w:val="21"/>
                <w:lang w:val="zh-CN"/>
              </w:rPr>
              <w:t>“</w:t>
            </w:r>
            <w:r>
              <w:rPr>
                <w:rFonts w:hint="eastAsia" w:ascii="宋体" w:cs="宋体"/>
                <w:kern w:val="0"/>
                <w:szCs w:val="21"/>
                <w:lang w:val="zh-CN"/>
              </w:rPr>
              <w:t>固定资产</w:t>
            </w:r>
            <w:r>
              <w:rPr>
                <w:rFonts w:ascii="宋体" w:cs="宋体"/>
                <w:kern w:val="0"/>
                <w:szCs w:val="21"/>
                <w:lang w:val="zh-CN"/>
              </w:rPr>
              <w:t>”</w:t>
            </w:r>
            <w:r>
              <w:rPr>
                <w:rFonts w:hint="eastAsia" w:ascii="宋体" w:cs="宋体"/>
                <w:kern w:val="0"/>
                <w:szCs w:val="21"/>
                <w:lang w:val="zh-CN"/>
              </w:rPr>
              <w:t>业务时记录资产验收单号、资产名称、数量、单价等辅助信息，年末生成</w:t>
            </w:r>
            <w:r>
              <w:rPr>
                <w:rFonts w:ascii="宋体" w:cs="宋体"/>
                <w:kern w:val="0"/>
                <w:szCs w:val="21"/>
                <w:lang w:val="zh-CN"/>
              </w:rPr>
              <w:t>“</w:t>
            </w:r>
            <w:r>
              <w:rPr>
                <w:rFonts w:hint="eastAsia" w:ascii="宋体" w:cs="宋体"/>
                <w:kern w:val="0"/>
                <w:szCs w:val="21"/>
                <w:lang w:val="zh-CN"/>
              </w:rPr>
              <w:t>固定资产报销对账单</w:t>
            </w:r>
            <w:r>
              <w:rPr>
                <w:rFonts w:ascii="宋体" w:cs="宋体"/>
                <w:kern w:val="0"/>
                <w:szCs w:val="21"/>
                <w:lang w:val="zh-CN"/>
              </w:rPr>
              <w:t>”</w:t>
            </w:r>
            <w:r>
              <w:rPr>
                <w:rFonts w:hint="eastAsia" w:ascii="宋体" w:cs="宋体"/>
                <w:kern w:val="0"/>
                <w:szCs w:val="21"/>
                <w:lang w:val="zh-CN"/>
              </w:rPr>
              <w:t>用于和资产部门对账</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合同管理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合同录入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收款合同录入、修改、删除、打印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付款合同录入、修改、删除、打印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编辑收（付）款合同的具体信息</w:t>
            </w:r>
          </w:p>
          <w:p>
            <w:pPr>
              <w:autoSpaceDE w:val="0"/>
              <w:autoSpaceDN w:val="0"/>
              <w:adjustRightInd w:val="0"/>
              <w:rPr>
                <w:rFonts w:ascii="宋体" w:cs="宋体"/>
                <w:kern w:val="0"/>
                <w:szCs w:val="21"/>
                <w:lang w:val="zh-CN"/>
              </w:rPr>
            </w:pPr>
            <w:r>
              <w:rPr>
                <w:rFonts w:hint="eastAsia" w:ascii="宋体" w:cs="宋体"/>
                <w:kern w:val="0"/>
                <w:szCs w:val="21"/>
                <w:lang w:val="zh-CN"/>
              </w:rPr>
              <w:t>合同编号应支持导入（传入）及自动生成</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合同应收</w:t>
            </w:r>
            <w:r>
              <w:rPr>
                <w:kern w:val="0"/>
                <w:szCs w:val="21"/>
              </w:rPr>
              <w:t>/</w:t>
            </w:r>
            <w:r>
              <w:rPr>
                <w:rFonts w:hint="eastAsia" w:ascii="宋体" w:cs="宋体"/>
                <w:kern w:val="0"/>
                <w:szCs w:val="21"/>
                <w:lang w:val="zh-CN"/>
              </w:rPr>
              <w:t>预付管理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合同应收管理</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合同预付管理</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根据收款合同的付款进度，自动检索需要收款的合同金额并自动生成凭证</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合同应付</w:t>
            </w:r>
            <w:r>
              <w:rPr>
                <w:kern w:val="0"/>
                <w:szCs w:val="21"/>
              </w:rPr>
              <w:t>/</w:t>
            </w:r>
            <w:r>
              <w:rPr>
                <w:rFonts w:hint="eastAsia" w:ascii="宋体" w:cs="宋体"/>
                <w:kern w:val="0"/>
                <w:szCs w:val="21"/>
                <w:lang w:val="zh-CN"/>
              </w:rPr>
              <w:t>预收管理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合同应付管理</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合同预收管理</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根据付款合同的付款进度，自动检索需要付款的合同金额并自动生成凭证</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合同开票</w:t>
            </w:r>
            <w:r>
              <w:rPr>
                <w:kern w:val="0"/>
                <w:szCs w:val="21"/>
              </w:rPr>
              <w:t>/</w:t>
            </w:r>
            <w:r>
              <w:rPr>
                <w:rFonts w:hint="eastAsia" w:ascii="宋体" w:cs="宋体"/>
                <w:kern w:val="0"/>
                <w:szCs w:val="21"/>
                <w:lang w:val="zh-CN"/>
              </w:rPr>
              <w:t>付票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合同开票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合同付款</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对合同进行开票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合同收款</w:t>
            </w:r>
            <w:r>
              <w:rPr>
                <w:kern w:val="0"/>
                <w:szCs w:val="21"/>
              </w:rPr>
              <w:t>/</w:t>
            </w:r>
            <w:r>
              <w:rPr>
                <w:rFonts w:hint="eastAsia" w:ascii="宋体" w:cs="宋体"/>
                <w:kern w:val="0"/>
                <w:szCs w:val="21"/>
                <w:lang w:val="zh-CN"/>
              </w:rPr>
              <w:t>付款进度管理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合同收款进度管理</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合同付款进度管理</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合同收款</w:t>
            </w:r>
            <w:r>
              <w:rPr>
                <w:kern w:val="0"/>
                <w:szCs w:val="21"/>
              </w:rPr>
              <w:t>/</w:t>
            </w:r>
            <w:r>
              <w:rPr>
                <w:rFonts w:hint="eastAsia" w:ascii="宋体" w:cs="宋体"/>
                <w:kern w:val="0"/>
                <w:szCs w:val="21"/>
                <w:lang w:val="zh-CN"/>
              </w:rPr>
              <w:t>付款进度查询</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合同明细账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合同明细账查询、打印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合同明细账查询</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合同执行进度表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合同执行进度表查询、打印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合同执行进度表</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基建管理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工程明细表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工程明细表查询、打印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合同执行进度表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工程合同明细表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工程合同明细表查询、打印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工程合同明细表查询、打印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工程执行汇总表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工程执行汇总表查询、打印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工程执行汇总表查询、打印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国库支付基建拔款</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国库支付基建拔款查询、打印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国库支付基建拔款查询、打印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竣工财务决算</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竣工财务决算查询、打印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竣工财务决算查询、打印，格式要求与审计部门要求一致</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概算管理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包括概算录入、概算控制</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可查询、更改、打印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应可对台套数、单价等进行控制</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月末处理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月末结账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月末结账</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反月结</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对完工会计月进行结帐，本月将不能进行凭证处理。</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年末自动转账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定义年终转账凭证</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自动生成年终转账凭证</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年结</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年底时，通过自定义的</w:t>
            </w:r>
            <w:r>
              <w:rPr>
                <w:rFonts w:ascii="宋体" w:cs="宋体"/>
                <w:kern w:val="0"/>
                <w:szCs w:val="21"/>
                <w:lang w:val="zh-CN"/>
              </w:rPr>
              <w:t>“</w:t>
            </w:r>
            <w:r>
              <w:rPr>
                <w:rFonts w:hint="eastAsia" w:ascii="宋体" w:cs="宋体"/>
                <w:kern w:val="0"/>
                <w:szCs w:val="21"/>
                <w:lang w:val="zh-CN"/>
              </w:rPr>
              <w:t>转账凭证</w:t>
            </w:r>
            <w:r>
              <w:rPr>
                <w:rFonts w:ascii="宋体" w:cs="宋体"/>
                <w:kern w:val="0"/>
                <w:szCs w:val="21"/>
                <w:lang w:val="zh-CN"/>
              </w:rPr>
              <w:t>”</w:t>
            </w:r>
            <w:r>
              <w:rPr>
                <w:rFonts w:hint="eastAsia" w:ascii="宋体" w:cs="宋体"/>
                <w:kern w:val="0"/>
                <w:szCs w:val="21"/>
                <w:lang w:val="zh-CN"/>
              </w:rPr>
              <w:t>进行年终自动结转，使工作量很大的年终结转在高度自动化的程序下顺利完成</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项目核算表</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项目资金流量表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按会计科目生成项目资金流量表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分为</w:t>
            </w:r>
            <w:r>
              <w:rPr>
                <w:rFonts w:ascii="宋体" w:cs="宋体"/>
                <w:kern w:val="0"/>
                <w:szCs w:val="21"/>
                <w:lang w:val="zh-CN"/>
              </w:rPr>
              <w:t>“</w:t>
            </w:r>
            <w:r>
              <w:rPr>
                <w:rFonts w:hint="eastAsia" w:ascii="宋体" w:cs="宋体"/>
                <w:kern w:val="0"/>
                <w:szCs w:val="21"/>
                <w:lang w:val="zh-CN"/>
              </w:rPr>
              <w:t>跨年</w:t>
            </w:r>
            <w:r>
              <w:rPr>
                <w:rFonts w:ascii="宋体" w:cs="宋体"/>
                <w:kern w:val="0"/>
                <w:szCs w:val="21"/>
                <w:lang w:val="zh-CN"/>
              </w:rPr>
              <w:t>”</w:t>
            </w:r>
            <w:r>
              <w:rPr>
                <w:rFonts w:hint="eastAsia" w:ascii="宋体" w:cs="宋体"/>
                <w:kern w:val="0"/>
                <w:szCs w:val="21"/>
                <w:lang w:val="zh-CN"/>
              </w:rPr>
              <w:t>和</w:t>
            </w:r>
            <w:r>
              <w:rPr>
                <w:rFonts w:ascii="宋体" w:cs="宋体"/>
                <w:kern w:val="0"/>
                <w:szCs w:val="21"/>
                <w:lang w:val="zh-CN"/>
              </w:rPr>
              <w:t>“</w:t>
            </w:r>
            <w:r>
              <w:rPr>
                <w:rFonts w:hint="eastAsia" w:ascii="宋体" w:cs="宋体"/>
                <w:kern w:val="0"/>
                <w:szCs w:val="21"/>
                <w:lang w:val="zh-CN"/>
              </w:rPr>
              <w:t>不跨年</w:t>
            </w:r>
            <w:r>
              <w:rPr>
                <w:rFonts w:ascii="宋体" w:cs="宋体"/>
                <w:kern w:val="0"/>
                <w:szCs w:val="21"/>
                <w:lang w:val="zh-CN"/>
              </w:rPr>
              <w:t>”</w:t>
            </w:r>
            <w:r>
              <w:rPr>
                <w:rFonts w:hint="eastAsia" w:ascii="宋体" w:cs="宋体"/>
                <w:kern w:val="0"/>
                <w:szCs w:val="21"/>
                <w:lang w:val="zh-CN"/>
              </w:rPr>
              <w:t>两种</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本功能用于查询项目下各明细科目的发生额及余额情况，并按项目、部门汇总，主要用于查询项目余额在各科目上的分布情况</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项目资金流量表（辅助科目</w:t>
            </w:r>
            <w:r>
              <w:rPr>
                <w:kern w:val="0"/>
                <w:szCs w:val="21"/>
              </w:rPr>
              <w:t>/</w:t>
            </w:r>
            <w:r>
              <w:rPr>
                <w:rFonts w:hint="eastAsia" w:ascii="宋体" w:cs="宋体"/>
                <w:kern w:val="0"/>
                <w:szCs w:val="21"/>
                <w:lang w:val="zh-CN"/>
              </w:rPr>
              <w:t>经济分类科目）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按辅助科目（或经济分类科目）生成项目资金流量表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分为</w:t>
            </w:r>
            <w:r>
              <w:rPr>
                <w:rFonts w:ascii="宋体" w:cs="宋体"/>
                <w:kern w:val="0"/>
                <w:szCs w:val="21"/>
                <w:lang w:val="zh-CN"/>
              </w:rPr>
              <w:t>“</w:t>
            </w:r>
            <w:r>
              <w:rPr>
                <w:rFonts w:hint="eastAsia" w:ascii="宋体" w:cs="宋体"/>
                <w:kern w:val="0"/>
                <w:szCs w:val="21"/>
                <w:lang w:val="zh-CN"/>
              </w:rPr>
              <w:t>跨年</w:t>
            </w:r>
            <w:r>
              <w:rPr>
                <w:rFonts w:ascii="宋体" w:cs="宋体"/>
                <w:kern w:val="0"/>
                <w:szCs w:val="21"/>
                <w:lang w:val="zh-CN"/>
              </w:rPr>
              <w:t>”</w:t>
            </w:r>
            <w:r>
              <w:rPr>
                <w:rFonts w:hint="eastAsia" w:ascii="宋体" w:cs="宋体"/>
                <w:kern w:val="0"/>
                <w:szCs w:val="21"/>
                <w:lang w:val="zh-CN"/>
              </w:rPr>
              <w:t>和</w:t>
            </w:r>
            <w:r>
              <w:rPr>
                <w:rFonts w:ascii="宋体" w:cs="宋体"/>
                <w:kern w:val="0"/>
                <w:szCs w:val="21"/>
                <w:lang w:val="zh-CN"/>
              </w:rPr>
              <w:t>“</w:t>
            </w:r>
            <w:r>
              <w:rPr>
                <w:rFonts w:hint="eastAsia" w:ascii="宋体" w:cs="宋体"/>
                <w:kern w:val="0"/>
                <w:szCs w:val="21"/>
                <w:lang w:val="zh-CN"/>
              </w:rPr>
              <w:t>不跨年</w:t>
            </w:r>
            <w:r>
              <w:rPr>
                <w:rFonts w:ascii="宋体" w:cs="宋体"/>
                <w:kern w:val="0"/>
                <w:szCs w:val="21"/>
                <w:lang w:val="zh-CN"/>
              </w:rPr>
              <w:t>”</w:t>
            </w:r>
            <w:r>
              <w:rPr>
                <w:rFonts w:hint="eastAsia" w:ascii="宋体" w:cs="宋体"/>
                <w:kern w:val="0"/>
                <w:szCs w:val="21"/>
                <w:lang w:val="zh-CN"/>
              </w:rPr>
              <w:t>两种</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本功能用于查询项目下各明细科目的发生额及余额情况，并按项目、部门汇总，主要用于查询项目余额在各科目上的分布情况</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项目总账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项目总账生成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项目总账打印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按月生成部门的各项目期初余额、本期增加、本期减少、期末余额等总帐数据的查询及打印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项目余额表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项目余额表生成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项目余额表打印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用于完成所选项目的年初余额、本年发生、累计发生、当前余额等数据的查询及打印</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项目明细账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两种项目明细账，单项目、多项目</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跨年与不跨年</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目收支流水帐的打印。按记帐日期生成项目发生的每笔借、贷明细并汇有项目的期初余额、期末余额和它所属部门的所有项目的汇总余额</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项目统计表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自定义项目统计表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固定格式项目统计表</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可统计所有项目的发生额及余额情况，项目年初余额、净收入、净支出、暂付款、其他收入各类科目统计到截止月份的余额一一列出</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项目增减表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项目增减表生成打印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包括</w:t>
            </w:r>
            <w:r>
              <w:rPr>
                <w:rFonts w:ascii="宋体" w:cs="宋体"/>
                <w:kern w:val="0"/>
                <w:szCs w:val="21"/>
                <w:lang w:val="zh-CN"/>
              </w:rPr>
              <w:t>“</w:t>
            </w:r>
            <w:r>
              <w:rPr>
                <w:rFonts w:hint="eastAsia" w:ascii="宋体" w:cs="宋体"/>
                <w:kern w:val="0"/>
                <w:szCs w:val="21"/>
                <w:lang w:val="zh-CN"/>
              </w:rPr>
              <w:t>项目增减情况表</w:t>
            </w:r>
            <w:r>
              <w:rPr>
                <w:rFonts w:ascii="宋体" w:cs="宋体"/>
                <w:kern w:val="0"/>
                <w:szCs w:val="21"/>
                <w:lang w:val="zh-CN"/>
              </w:rPr>
              <w:t>”</w:t>
            </w:r>
            <w:r>
              <w:rPr>
                <w:rFonts w:hint="eastAsia" w:ascii="宋体" w:cs="宋体"/>
                <w:kern w:val="0"/>
                <w:szCs w:val="21"/>
                <w:lang w:val="zh-CN"/>
              </w:rPr>
              <w:t>、</w:t>
            </w:r>
            <w:r>
              <w:rPr>
                <w:rFonts w:ascii="宋体" w:cs="宋体"/>
                <w:kern w:val="0"/>
                <w:szCs w:val="21"/>
                <w:lang w:val="zh-CN"/>
              </w:rPr>
              <w:t>“</w:t>
            </w:r>
            <w:r>
              <w:rPr>
                <w:rFonts w:hint="eastAsia" w:ascii="宋体" w:cs="宋体"/>
                <w:kern w:val="0"/>
                <w:szCs w:val="21"/>
                <w:lang w:val="zh-CN"/>
              </w:rPr>
              <w:t>项目汇总表</w:t>
            </w:r>
            <w:r>
              <w:rPr>
                <w:rFonts w:ascii="宋体" w:cs="宋体"/>
                <w:kern w:val="0"/>
                <w:szCs w:val="21"/>
                <w:lang w:val="zh-CN"/>
              </w:rPr>
              <w:t>”</w:t>
            </w:r>
            <w:r>
              <w:rPr>
                <w:rFonts w:hint="eastAsia" w:ascii="宋体" w:cs="宋体"/>
                <w:kern w:val="0"/>
                <w:szCs w:val="21"/>
                <w:lang w:val="zh-CN"/>
              </w:rPr>
              <w:t>和</w:t>
            </w:r>
            <w:r>
              <w:rPr>
                <w:rFonts w:ascii="宋体" w:cs="宋体"/>
                <w:kern w:val="0"/>
                <w:szCs w:val="21"/>
                <w:lang w:val="zh-CN"/>
              </w:rPr>
              <w:t>“</w:t>
            </w:r>
            <w:r>
              <w:rPr>
                <w:rFonts w:hint="eastAsia" w:ascii="宋体" w:cs="宋体"/>
                <w:kern w:val="0"/>
                <w:szCs w:val="21"/>
                <w:lang w:val="zh-CN"/>
              </w:rPr>
              <w:t>项目分类汇总表</w:t>
            </w:r>
            <w:r>
              <w:rPr>
                <w:rFonts w:ascii="宋体" w:cs="宋体"/>
                <w:kern w:val="0"/>
                <w:szCs w:val="21"/>
                <w:lang w:val="zh-CN"/>
              </w:rPr>
              <w:t>”</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项目汇总表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项目汇总表生成打印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项目汇总表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9</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项目分类汇总</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项目分类汇总表生成打印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项目按分类统计汇总</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项目预期完工统计</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项目预期完工统计生成打印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通过</w:t>
            </w:r>
            <w:r>
              <w:rPr>
                <w:rFonts w:ascii="宋体" w:cs="宋体"/>
                <w:kern w:val="0"/>
                <w:szCs w:val="21"/>
                <w:lang w:val="zh-CN"/>
              </w:rPr>
              <w:t>“</w:t>
            </w:r>
            <w:r>
              <w:rPr>
                <w:rFonts w:hint="eastAsia" w:ascii="宋体" w:cs="宋体"/>
                <w:kern w:val="0"/>
                <w:szCs w:val="21"/>
                <w:lang w:val="zh-CN"/>
              </w:rPr>
              <w:t>完工日期</w:t>
            </w:r>
            <w:r>
              <w:rPr>
                <w:rFonts w:ascii="宋体" w:cs="宋体"/>
                <w:kern w:val="0"/>
                <w:szCs w:val="21"/>
                <w:lang w:val="zh-CN"/>
              </w:rPr>
              <w:t>”</w:t>
            </w:r>
            <w:r>
              <w:rPr>
                <w:rFonts w:hint="eastAsia" w:ascii="宋体" w:cs="宋体"/>
                <w:kern w:val="0"/>
                <w:szCs w:val="21"/>
                <w:lang w:val="zh-CN"/>
              </w:rPr>
              <w:t>字段统计那些预期完工的项目</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项目超支统计</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项目超支统计生成打印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计出那些已超支的项目，以便进行及时预算调整或停止帐务处理，并对各超支项目按期初数、本期借、本期贷、期末数进行汇总统计</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项目类型统计</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项目类型统计生成打印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按</w:t>
            </w:r>
            <w:r>
              <w:rPr>
                <w:rFonts w:ascii="宋体" w:cs="宋体"/>
                <w:kern w:val="0"/>
                <w:szCs w:val="21"/>
                <w:lang w:val="zh-CN"/>
              </w:rPr>
              <w:t>“</w:t>
            </w:r>
            <w:r>
              <w:rPr>
                <w:rFonts w:hint="eastAsia" w:ascii="宋体" w:cs="宋体"/>
                <w:kern w:val="0"/>
                <w:szCs w:val="21"/>
                <w:lang w:val="zh-CN"/>
              </w:rPr>
              <w:t>项目类型</w:t>
            </w:r>
            <w:r>
              <w:rPr>
                <w:rFonts w:ascii="宋体" w:cs="宋体"/>
                <w:kern w:val="0"/>
                <w:szCs w:val="21"/>
                <w:lang w:val="zh-CN"/>
              </w:rPr>
              <w:t>”</w:t>
            </w:r>
            <w:r>
              <w:rPr>
                <w:rFonts w:hint="eastAsia" w:ascii="宋体" w:cs="宋体"/>
                <w:kern w:val="0"/>
                <w:szCs w:val="21"/>
                <w:lang w:val="zh-CN"/>
              </w:rPr>
              <w:t>进行期初数、本期借、本期贷、期末数的汇总统计</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项目分类属性统计</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项目分类属性</w:t>
            </w:r>
            <w:r>
              <w:rPr>
                <w:kern w:val="0"/>
                <w:szCs w:val="21"/>
              </w:rPr>
              <w:t>1-3</w:t>
            </w:r>
            <w:r>
              <w:rPr>
                <w:rFonts w:hint="eastAsia" w:ascii="宋体" w:cs="宋体"/>
                <w:kern w:val="0"/>
                <w:szCs w:val="21"/>
                <w:lang w:val="zh-CN"/>
              </w:rPr>
              <w:t>统计生成打印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项目定义三类属性，利用这三种属性对项目进行统计</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项目额度控制</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项目额度录入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项目额度追加录入（输入法）</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项目额度凭证生成（比例法）</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项目上额度，以便在今后支出时加以控制</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项目额度导入</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项目额度导入</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通过导入方式追加项目额度</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项目额度复核</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项目额度复核</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项目额度取消复核</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项目余额冻结</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项目额度的控制数作用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项目额度汇总</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项目额度汇总</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项目额度反汇总</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将凭证中支出的数据通过科目与额度的对应关系，按额度进行汇总得到额度总账表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项目额度控制表</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项目额度控制表生成打印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直接生成项目额度总账，包括额度年初数、额度增加、额度减少、当前结余</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项目额度收支明细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项目额度收支明细生成打印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将凭证中支出的数据通过科目与额度的对应关系，以额度的方式生成收、支明细账</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项目额度收支汇总</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项目额度收支汇总生成打印</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将凭证中支出的数据通过科目与额度的对应关系，以额度的方式生成收、支汇总表</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8</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额度控制等级</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分合同号和经费号两级控制</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设支出科目（归集），在预算额度中支出</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b/>
                <w:bCs/>
                <w:kern w:val="0"/>
                <w:szCs w:val="21"/>
              </w:rPr>
            </w:pPr>
            <w:r>
              <w:rPr>
                <w:rFonts w:hint="eastAsia" w:ascii="宋体" w:cs="宋体"/>
                <w:b/>
                <w:bCs/>
                <w:kern w:val="0"/>
                <w:szCs w:val="21"/>
                <w:lang w:val="zh-CN"/>
              </w:rPr>
              <w:t>往来管理</w:t>
            </w:r>
          </w:p>
          <w:p>
            <w:pPr>
              <w:autoSpaceDE w:val="0"/>
              <w:autoSpaceDN w:val="0"/>
              <w:adjustRightInd w:val="0"/>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往来单位账查询</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往来单位余额表</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往来单位明细账</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往来单位台账</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往来单位催款单</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查询往来单位的应收情况</w:t>
            </w:r>
          </w:p>
          <w:p>
            <w:pPr>
              <w:autoSpaceDE w:val="0"/>
              <w:autoSpaceDN w:val="0"/>
              <w:adjustRightInd w:val="0"/>
              <w:rPr>
                <w:rFonts w:ascii="宋体" w:cs="宋体"/>
                <w:kern w:val="0"/>
                <w:szCs w:val="21"/>
                <w:lang w:val="zh-CN"/>
              </w:rPr>
            </w:pPr>
            <w:r>
              <w:rPr>
                <w:rFonts w:hint="eastAsia" w:ascii="宋体" w:cs="宋体"/>
                <w:kern w:val="0"/>
                <w:szCs w:val="21"/>
                <w:lang w:val="zh-CN"/>
              </w:rPr>
              <w:t>至少应实现已开题项目反查往来款号</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暂付款查询</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没核销暂付款查询</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没还清暂付款查询</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催款单（应可按负责人、项目、部门归纳、打印）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借款的三栏账</w:t>
            </w:r>
            <w:r>
              <w:rPr>
                <w:kern w:val="0"/>
                <w:szCs w:val="21"/>
              </w:rPr>
              <w:t>/</w:t>
            </w:r>
            <w:r>
              <w:rPr>
                <w:rFonts w:hint="eastAsia" w:ascii="宋体" w:cs="宋体"/>
                <w:kern w:val="0"/>
                <w:szCs w:val="21"/>
                <w:lang w:val="zh-CN"/>
              </w:rPr>
              <w:t>多栏账</w:t>
            </w:r>
            <w:r>
              <w:rPr>
                <w:kern w:val="0"/>
                <w:szCs w:val="21"/>
              </w:rPr>
              <w:t>/</w:t>
            </w:r>
            <w:r>
              <w:rPr>
                <w:rFonts w:hint="eastAsia" w:ascii="宋体" w:cs="宋体"/>
                <w:kern w:val="0"/>
                <w:szCs w:val="21"/>
                <w:lang w:val="zh-CN"/>
              </w:rPr>
              <w:t>余额表</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暂付款的核销、校验功能</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提供对</w:t>
            </w:r>
            <w:r>
              <w:rPr>
                <w:rFonts w:ascii="宋体" w:cs="宋体"/>
                <w:kern w:val="0"/>
                <w:szCs w:val="21"/>
                <w:lang w:val="zh-CN"/>
              </w:rPr>
              <w:t>“</w:t>
            </w:r>
            <w:r>
              <w:rPr>
                <w:rFonts w:hint="eastAsia" w:ascii="宋体" w:cs="宋体"/>
                <w:kern w:val="0"/>
                <w:szCs w:val="21"/>
                <w:lang w:val="zh-CN"/>
              </w:rPr>
              <w:t>暂付款</w:t>
            </w:r>
            <w:r>
              <w:rPr>
                <w:rFonts w:ascii="宋体" w:cs="宋体"/>
                <w:kern w:val="0"/>
                <w:szCs w:val="21"/>
                <w:lang w:val="zh-CN"/>
              </w:rPr>
              <w:t>”</w:t>
            </w:r>
            <w:r>
              <w:rPr>
                <w:rFonts w:hint="eastAsia" w:ascii="宋体" w:cs="宋体"/>
                <w:kern w:val="0"/>
                <w:szCs w:val="21"/>
                <w:lang w:val="zh-CN"/>
              </w:rPr>
              <w:t>科目的综合查询</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暂付款控制</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暂付款冲账提醒</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暂付款控制</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对超过指定借款笔数的项目，报账人员填写网上报账预约申请（借款）时，提示已超出规定的借款笔数，可能会影响借款的成功申请，但并不阻止继续提交申请。</w:t>
            </w:r>
          </w:p>
          <w:p>
            <w:pPr>
              <w:autoSpaceDE w:val="0"/>
              <w:autoSpaceDN w:val="0"/>
              <w:adjustRightInd w:val="0"/>
              <w:rPr>
                <w:rFonts w:ascii="宋体" w:cs="宋体"/>
                <w:kern w:val="0"/>
                <w:szCs w:val="21"/>
                <w:lang w:val="zh-CN"/>
              </w:rPr>
            </w:pPr>
            <w:r>
              <w:rPr>
                <w:rFonts w:hint="eastAsia" w:ascii="宋体" w:cs="宋体"/>
                <w:kern w:val="0"/>
                <w:szCs w:val="21"/>
                <w:lang w:val="zh-CN"/>
              </w:rPr>
              <w:t>对超过指定借款笔数的项目报账申请，制单时进行预警提示，如需继续制单，需财务长输入密码授权。</w:t>
            </w:r>
          </w:p>
        </w:tc>
      </w:tr>
      <w:tr>
        <w:tblPrEx>
          <w:tblLayout w:type="fixed"/>
          <w:tblCellMar>
            <w:top w:w="0" w:type="dxa"/>
            <w:left w:w="108" w:type="dxa"/>
            <w:bottom w:w="0" w:type="dxa"/>
            <w:right w:w="108" w:type="dxa"/>
          </w:tblCellMar>
        </w:tblPrEx>
        <w:trPr>
          <w:jc w:val="center"/>
        </w:trPr>
        <w:tc>
          <w:tcPr>
            <w:tcW w:w="42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系统维护</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数据库备份</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数据库备份、恢复</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数据表备份、恢复</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为了防止意外，系统还提供了数据备份和恢复的功能，包括</w:t>
            </w:r>
            <w:r>
              <w:rPr>
                <w:rFonts w:ascii="宋体" w:cs="宋体"/>
                <w:kern w:val="0"/>
                <w:szCs w:val="21"/>
                <w:lang w:val="zh-CN"/>
              </w:rPr>
              <w:t>“</w:t>
            </w:r>
            <w:r>
              <w:rPr>
                <w:rFonts w:hint="eastAsia" w:ascii="宋体" w:cs="宋体"/>
                <w:kern w:val="0"/>
                <w:szCs w:val="21"/>
                <w:lang w:val="zh-CN"/>
              </w:rPr>
              <w:t>数据库</w:t>
            </w:r>
            <w:r>
              <w:rPr>
                <w:rFonts w:ascii="宋体" w:cs="宋体"/>
                <w:kern w:val="0"/>
                <w:szCs w:val="21"/>
                <w:lang w:val="zh-CN"/>
              </w:rPr>
              <w:t>”</w:t>
            </w:r>
            <w:r>
              <w:rPr>
                <w:rFonts w:hint="eastAsia" w:ascii="宋体" w:cs="宋体"/>
                <w:kern w:val="0"/>
                <w:szCs w:val="21"/>
                <w:lang w:val="zh-CN"/>
              </w:rPr>
              <w:t>和</w:t>
            </w:r>
            <w:r>
              <w:rPr>
                <w:rFonts w:ascii="宋体" w:cs="宋体"/>
                <w:kern w:val="0"/>
                <w:szCs w:val="21"/>
                <w:lang w:val="zh-CN"/>
              </w:rPr>
              <w:t>“</w:t>
            </w:r>
            <w:r>
              <w:rPr>
                <w:rFonts w:hint="eastAsia" w:ascii="宋体" w:cs="宋体"/>
                <w:kern w:val="0"/>
                <w:szCs w:val="21"/>
                <w:lang w:val="zh-CN"/>
              </w:rPr>
              <w:t>数据表</w:t>
            </w:r>
            <w:r>
              <w:rPr>
                <w:rFonts w:ascii="宋体" w:cs="宋体"/>
                <w:kern w:val="0"/>
                <w:szCs w:val="21"/>
                <w:lang w:val="zh-CN"/>
              </w:rPr>
              <w:t>”</w:t>
            </w:r>
            <w:r>
              <w:rPr>
                <w:rFonts w:hint="eastAsia" w:ascii="宋体" w:cs="宋体"/>
                <w:kern w:val="0"/>
                <w:szCs w:val="21"/>
                <w:lang w:val="zh-CN"/>
              </w:rPr>
              <w:t>两种方式。</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历史数据库备份</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历史数据库备份</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历史数据库删除</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将往年数据从当前数据库中分离出来，不但会提高查询、存贮速度，而且便于当前年度基础代码的调整，在查询往年数据时平滑过渡</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更新总账</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科目总账发生额、余额更新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项目总账发生额、余额更新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辅助总账发生额、余额更新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临时结转上年余额</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对各种总账数据（发生额、余额）进行更新，并实现跨年度的结转。</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用户组设置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用户组信息录入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用户组权限设置，分为功能权限、科目权限、部门权限、凭证类权限</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不同操作人员的权限通过赋予一定的角色、组和组策略来获得。角色是权限的元数据及其组合，角色可以继承、分组和授权</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用户权限设置</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用户信息录入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用户规属组</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将用户分配进组，自动继承组权限</w:t>
            </w:r>
          </w:p>
        </w:tc>
      </w:tr>
      <w:tr>
        <w:tblPrEx>
          <w:tblLayout w:type="fixed"/>
          <w:tblCellMar>
            <w:top w:w="0" w:type="dxa"/>
            <w:left w:w="108" w:type="dxa"/>
            <w:bottom w:w="0" w:type="dxa"/>
            <w:right w:w="108" w:type="dxa"/>
          </w:tblCellMar>
        </w:tblPrEx>
        <w:trPr>
          <w:jc w:val="center"/>
        </w:trPr>
        <w:tc>
          <w:tcPr>
            <w:tcW w:w="42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7</w:t>
            </w:r>
          </w:p>
        </w:tc>
        <w:tc>
          <w:tcPr>
            <w:tcW w:w="1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日志管理</w:t>
            </w:r>
          </w:p>
        </w:tc>
        <w:tc>
          <w:tcPr>
            <w:tcW w:w="30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日志查询</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日志备份与恢复</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日志清除</w:t>
            </w:r>
          </w:p>
        </w:tc>
        <w:tc>
          <w:tcPr>
            <w:tcW w:w="5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对操作员的每一步操作都做了日志记载。日志可以记载任何进入系统的行为，以及对重要数据的修改情况</w:t>
            </w:r>
          </w:p>
        </w:tc>
      </w:tr>
    </w:tbl>
    <w:p>
      <w:pPr>
        <w:rPr>
          <w:rFonts w:ascii="Calibri" w:hAnsi="宋体"/>
          <w:sz w:val="28"/>
          <w:szCs w:val="28"/>
        </w:rPr>
      </w:pPr>
      <w:r>
        <w:rPr>
          <w:rFonts w:hint="eastAsia" w:ascii="宋体" w:hAnsi="宋体"/>
          <w:sz w:val="28"/>
          <w:szCs w:val="28"/>
        </w:rPr>
        <w:t>（二）</w:t>
      </w:r>
      <w:r>
        <w:rPr>
          <w:rFonts w:hint="eastAsia" w:ascii="Calibri" w:hAnsi="宋体"/>
          <w:sz w:val="28"/>
          <w:szCs w:val="28"/>
        </w:rPr>
        <w:t>综合报表平台（报表）</w:t>
      </w:r>
    </w:p>
    <w:tbl>
      <w:tblPr>
        <w:tblStyle w:val="7"/>
        <w:tblW w:w="10753" w:type="dxa"/>
        <w:jc w:val="center"/>
        <w:tblInd w:w="-318" w:type="dxa"/>
        <w:tblLayout w:type="fixed"/>
        <w:tblCellMar>
          <w:top w:w="0" w:type="dxa"/>
          <w:left w:w="108" w:type="dxa"/>
          <w:bottom w:w="0" w:type="dxa"/>
          <w:right w:w="108" w:type="dxa"/>
        </w:tblCellMar>
      </w:tblPr>
      <w:tblGrid>
        <w:gridCol w:w="426"/>
        <w:gridCol w:w="426"/>
        <w:gridCol w:w="992"/>
        <w:gridCol w:w="3113"/>
        <w:gridCol w:w="5034"/>
        <w:gridCol w:w="762"/>
      </w:tblGrid>
      <w:tr>
        <w:tblPrEx>
          <w:tblLayout w:type="fixed"/>
          <w:tblCellMar>
            <w:top w:w="0" w:type="dxa"/>
            <w:left w:w="108" w:type="dxa"/>
            <w:bottom w:w="0" w:type="dxa"/>
            <w:right w:w="108" w:type="dxa"/>
          </w:tblCellMar>
        </w:tblPrEx>
        <w:trPr>
          <w:jc w:val="center"/>
        </w:trPr>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kern w:val="0"/>
                <w:szCs w:val="21"/>
                <w:lang w:val="zh-CN"/>
              </w:rPr>
              <w:t>项目</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kern w:val="0"/>
                <w:szCs w:val="21"/>
                <w:lang w:val="zh-CN"/>
              </w:rPr>
              <w:t>序号</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功能点</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主要功能</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功能简述</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响应情况</w:t>
            </w:r>
          </w:p>
        </w:tc>
      </w:tr>
      <w:tr>
        <w:tblPrEx>
          <w:tblLayout w:type="fixed"/>
          <w:tblCellMar>
            <w:top w:w="0" w:type="dxa"/>
            <w:left w:w="108" w:type="dxa"/>
            <w:bottom w:w="0" w:type="dxa"/>
            <w:right w:w="108" w:type="dxa"/>
          </w:tblCellMar>
        </w:tblPrEx>
        <w:trPr>
          <w:jc w:val="center"/>
        </w:trPr>
        <w:tc>
          <w:tcPr>
            <w:tcW w:w="42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初始化</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新建账套</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账套的新建</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color w:val="000000"/>
                <w:kern w:val="0"/>
                <w:szCs w:val="21"/>
                <w:lang w:val="zh-CN"/>
              </w:rPr>
              <w:t>帐套是存放一组报表的数据库</w:t>
            </w:r>
            <w:r>
              <w:rPr>
                <w:rFonts w:hint="eastAsia" w:ascii="宋体" w:cs="宋体"/>
                <w:kern w:val="0"/>
                <w:szCs w:val="21"/>
                <w:lang w:val="zh-CN"/>
              </w:rPr>
              <w:t>。使用帐套可以更加整齐、有效的管理大量的财务报表文件。建立报表前必须先建立帐套。</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color w:val="000000"/>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报表类型定义</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报类型定义与删除</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color w:val="000000"/>
                <w:kern w:val="0"/>
                <w:szCs w:val="21"/>
                <w:lang w:val="zh-CN"/>
              </w:rPr>
              <w:t>建立报表前首先需要创建一个报表分类，报表文件从属于一个报表分类。报表分类一般为财务、收费、工资、预算四类</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color w:val="000000"/>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数据库连接设置</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联接参数定义</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联接参数修改</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设定与财务、收费、工资、预算等业务数据库的联接参数</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b/>
                <w:bCs/>
                <w:kern w:val="0"/>
                <w:szCs w:val="21"/>
                <w:lang w:val="zh-CN"/>
              </w:rPr>
              <w:t>报表管理</w:t>
            </w: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1</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新增报表</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报表信息录入</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报表删除</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在报表分类下建立报表，包括报表名称、计量单位等</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2</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报表编辑</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格式编辑</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风格编辑</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报表文字编辑</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确定报表的行数、列数；输入报表的文字内容，并进行格式上的编辑；设置文字、数字的显示风格等</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3</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定义取数公式</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《财务系统》取数包括科目、部门或项目的取数或组合取数</w:t>
            </w:r>
          </w:p>
          <w:p>
            <w:pPr>
              <w:numPr>
                <w:ilvl w:val="0"/>
                <w:numId w:val="2"/>
              </w:numPr>
              <w:autoSpaceDE w:val="0"/>
              <w:autoSpaceDN w:val="0"/>
              <w:adjustRightInd w:val="0"/>
              <w:ind w:left="260" w:hanging="284"/>
              <w:rPr>
                <w:kern w:val="0"/>
                <w:szCs w:val="21"/>
              </w:rPr>
            </w:pPr>
            <w:r>
              <w:rPr>
                <w:rFonts w:hint="eastAsia" w:ascii="宋体" w:cs="宋体"/>
                <w:kern w:val="0"/>
                <w:szCs w:val="21"/>
                <w:lang w:val="zh-CN"/>
              </w:rPr>
              <w:t>《收费系统》取数包括对应收、实收、减免、退费、欠费的金额或人数取数</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《工资系统》取数包括对任何时间段内、各工资项目的取数</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Cs w:val="21"/>
              </w:rPr>
            </w:pPr>
            <w:r>
              <w:rPr>
                <w:rFonts w:hint="eastAsia" w:ascii="宋体" w:cs="宋体"/>
                <w:kern w:val="0"/>
                <w:szCs w:val="21"/>
                <w:lang w:val="zh-CN"/>
              </w:rPr>
              <w:t>使用者对报表的单元格要定义取数公式。公式包括取数公式、表内计算公式和表间取数公式</w:t>
            </w:r>
          </w:p>
          <w:p>
            <w:pPr>
              <w:autoSpaceDE w:val="0"/>
              <w:autoSpaceDN w:val="0"/>
              <w:adjustRightInd w:val="0"/>
              <w:rPr>
                <w:rFonts w:ascii="宋体" w:cs="宋体"/>
                <w:kern w:val="0"/>
                <w:szCs w:val="21"/>
                <w:lang w:val="zh-CN"/>
              </w:rPr>
            </w:pP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4</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取数计算</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新增表页取数计算</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通过定义的取数公式，从业务系统的数据库中抓取数据并自动按表内公式计算</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报表保存</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报表保存、打印或导出</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报表保存、打印或导出</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r>
        <w:tblPrEx>
          <w:tblLayout w:type="fixed"/>
          <w:tblCellMar>
            <w:top w:w="0" w:type="dxa"/>
            <w:left w:w="108" w:type="dxa"/>
            <w:bottom w:w="0" w:type="dxa"/>
            <w:right w:w="108" w:type="dxa"/>
          </w:tblCellMar>
        </w:tblPrEx>
        <w:trPr>
          <w:jc w:val="center"/>
        </w:trPr>
        <w:tc>
          <w:tcPr>
            <w:tcW w:w="42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cs="宋体"/>
                <w:kern w:val="0"/>
                <w:szCs w:val="21"/>
                <w:lang w:val="zh-CN"/>
              </w:rPr>
            </w:pPr>
          </w:p>
        </w:tc>
        <w:tc>
          <w:tcPr>
            <w:tcW w:w="4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kern w:val="0"/>
                <w:szCs w:val="21"/>
              </w:rPr>
              <w:t>6</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Cs w:val="21"/>
                <w:lang w:val="zh-CN"/>
              </w:rPr>
            </w:pPr>
            <w:r>
              <w:rPr>
                <w:rFonts w:hint="eastAsia" w:ascii="宋体" w:cs="宋体"/>
                <w:kern w:val="0"/>
                <w:szCs w:val="21"/>
                <w:lang w:val="zh-CN"/>
              </w:rPr>
              <w:t>报表统计分析</w:t>
            </w:r>
          </w:p>
        </w:tc>
        <w:tc>
          <w:tcPr>
            <w:tcW w:w="31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2"/>
              </w:numPr>
              <w:autoSpaceDE w:val="0"/>
              <w:autoSpaceDN w:val="0"/>
              <w:adjustRightInd w:val="0"/>
              <w:ind w:left="260" w:hanging="284"/>
              <w:rPr>
                <w:kern w:val="0"/>
                <w:szCs w:val="21"/>
              </w:rPr>
            </w:pPr>
            <w:r>
              <w:rPr>
                <w:rFonts w:hint="eastAsia" w:ascii="宋体" w:cs="宋体"/>
                <w:kern w:val="0"/>
                <w:szCs w:val="21"/>
                <w:lang w:val="zh-CN"/>
              </w:rPr>
              <w:t>报表统计分析</w:t>
            </w:r>
          </w:p>
          <w:p>
            <w:pPr>
              <w:numPr>
                <w:ilvl w:val="0"/>
                <w:numId w:val="2"/>
              </w:numPr>
              <w:autoSpaceDE w:val="0"/>
              <w:autoSpaceDN w:val="0"/>
              <w:adjustRightInd w:val="0"/>
              <w:ind w:left="260" w:hanging="284"/>
              <w:rPr>
                <w:rFonts w:ascii="宋体" w:cs="宋体"/>
                <w:kern w:val="0"/>
                <w:szCs w:val="21"/>
                <w:lang w:val="zh-CN"/>
              </w:rPr>
            </w:pPr>
            <w:r>
              <w:rPr>
                <w:rFonts w:hint="eastAsia" w:ascii="宋体" w:cs="宋体"/>
                <w:kern w:val="0"/>
                <w:szCs w:val="21"/>
                <w:lang w:val="zh-CN"/>
              </w:rPr>
              <w:t>报表生成打印</w:t>
            </w:r>
          </w:p>
        </w:tc>
        <w:tc>
          <w:tcPr>
            <w:tcW w:w="5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cs="宋体"/>
                <w:kern w:val="0"/>
                <w:szCs w:val="21"/>
                <w:lang w:val="zh-CN"/>
              </w:rPr>
            </w:pPr>
            <w:r>
              <w:rPr>
                <w:rFonts w:hint="eastAsia" w:ascii="宋体" w:cs="宋体"/>
                <w:kern w:val="0"/>
                <w:szCs w:val="21"/>
                <w:lang w:val="zh-CN"/>
              </w:rPr>
              <w:t>报表数据的统计分析是指报表数据的图表显示，它可以使数据显示更加直观、清晰，更易于阅读和评价，并且可以帮助用户分析和比较数据</w:t>
            </w:r>
          </w:p>
        </w:tc>
        <w:tc>
          <w:tcPr>
            <w:tcW w:w="76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ascii="宋体" w:cs="宋体"/>
                <w:kern w:val="0"/>
                <w:szCs w:val="21"/>
                <w:lang w:val="zh-CN"/>
              </w:rPr>
            </w:pPr>
          </w:p>
        </w:tc>
      </w:tr>
    </w:tbl>
    <w:p>
      <w:pPr>
        <w:pStyle w:val="3"/>
        <w:spacing w:line="500" w:lineRule="exact"/>
        <w:ind w:right="420"/>
        <w:jc w:val="center"/>
        <w:rPr>
          <w:rFonts w:hAnsi="宋体"/>
          <w:color w:val="000000"/>
        </w:rPr>
      </w:pPr>
      <w:r>
        <w:rPr>
          <w:rFonts w:hint="eastAsia" w:hAnsi="宋体"/>
          <w:color w:val="000000"/>
        </w:rPr>
        <w:t xml:space="preserve">                              法定代表人或法定代表人授权代表（签字）: </w:t>
      </w:r>
    </w:p>
    <w:p>
      <w:pPr>
        <w:pStyle w:val="3"/>
        <w:spacing w:line="500" w:lineRule="exact"/>
        <w:ind w:right="1260"/>
        <w:jc w:val="right"/>
        <w:rPr>
          <w:rFonts w:hAnsi="宋体"/>
          <w:color w:val="000000"/>
        </w:rPr>
      </w:pPr>
      <w:r>
        <w:rPr>
          <w:rFonts w:hint="eastAsia" w:hAnsi="宋体"/>
          <w:color w:val="000000"/>
        </w:rPr>
        <w:t xml:space="preserve">供应商名称（签章）：                              </w:t>
      </w:r>
    </w:p>
    <w:p>
      <w:pPr>
        <w:pStyle w:val="3"/>
        <w:spacing w:line="500" w:lineRule="exact"/>
        <w:ind w:right="630"/>
        <w:jc w:val="right"/>
        <w:rPr>
          <w:rFonts w:hAnsi="宋体"/>
          <w:color w:val="000000"/>
        </w:rPr>
      </w:pPr>
      <w:r>
        <w:rPr>
          <w:rFonts w:hint="eastAsia" w:hAnsi="宋体"/>
          <w:color w:val="000000"/>
        </w:rPr>
        <w:t xml:space="preserve">时间：     年     月    日 </w:t>
      </w:r>
    </w:p>
    <w:p>
      <w:pPr>
        <w:spacing w:line="480" w:lineRule="exact"/>
        <w:rPr>
          <w:rFonts w:asciiTheme="majorEastAsia" w:hAnsiTheme="majorEastAsia" w:eastAsiaTheme="majorEastAsia"/>
          <w:b/>
          <w:sz w:val="28"/>
        </w:rPr>
      </w:pPr>
      <w:r>
        <w:rPr>
          <w:szCs w:val="21"/>
        </w:rPr>
        <w:br w:type="page"/>
      </w:r>
    </w:p>
    <w:p>
      <w:pPr>
        <w:spacing w:line="300" w:lineRule="auto"/>
        <w:jc w:val="left"/>
        <w:rPr>
          <w:rFonts w:ascii="黑体" w:hAnsi="黑体" w:eastAsia="黑体"/>
          <w:sz w:val="32"/>
          <w:szCs w:val="32"/>
        </w:rPr>
      </w:pPr>
      <w:r>
        <w:rPr>
          <w:rFonts w:hint="eastAsia" w:ascii="黑体" w:hAnsi="黑体" w:eastAsia="黑体"/>
          <w:sz w:val="32"/>
          <w:szCs w:val="32"/>
        </w:rPr>
        <w:t>3、技术响应、偏离情况说明表</w:t>
      </w:r>
    </w:p>
    <w:p>
      <w:pPr>
        <w:spacing w:line="300" w:lineRule="auto"/>
        <w:rPr>
          <w:rFonts w:ascii="宋体" w:hAnsi="宋体"/>
          <w:szCs w:val="21"/>
        </w:rPr>
      </w:pPr>
    </w:p>
    <w:tbl>
      <w:tblPr>
        <w:tblStyle w:val="7"/>
        <w:tblW w:w="9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382"/>
        <w:gridCol w:w="2382"/>
        <w:gridCol w:w="3242"/>
        <w:gridCol w:w="1258"/>
        <w:gridCol w:w="9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trPr>
        <w:tc>
          <w:tcPr>
            <w:tcW w:w="667" w:type="dxa"/>
          </w:tcPr>
          <w:p>
            <w:pPr>
              <w:adjustRightInd w:val="0"/>
              <w:snapToGrid w:val="0"/>
              <w:spacing w:line="300" w:lineRule="auto"/>
              <w:jc w:val="center"/>
              <w:outlineLvl w:val="0"/>
              <w:rPr>
                <w:rFonts w:ascii="宋体" w:hAnsi="宋体"/>
                <w:szCs w:val="21"/>
              </w:rPr>
            </w:pPr>
            <w:r>
              <w:rPr>
                <w:rFonts w:hint="eastAsia" w:ascii="宋体" w:hAnsi="宋体"/>
                <w:szCs w:val="21"/>
              </w:rPr>
              <w:t>序号</w:t>
            </w:r>
          </w:p>
        </w:tc>
        <w:tc>
          <w:tcPr>
            <w:tcW w:w="1382" w:type="dxa"/>
            <w:vAlign w:val="center"/>
          </w:tcPr>
          <w:p>
            <w:pPr>
              <w:adjustRightInd w:val="0"/>
              <w:snapToGrid w:val="0"/>
              <w:spacing w:line="300" w:lineRule="auto"/>
              <w:jc w:val="center"/>
              <w:outlineLvl w:val="0"/>
              <w:rPr>
                <w:rFonts w:ascii="宋体" w:hAnsi="宋体"/>
                <w:szCs w:val="21"/>
              </w:rPr>
            </w:pPr>
            <w:r>
              <w:rPr>
                <w:rFonts w:hint="eastAsia" w:ascii="宋体" w:hAnsi="宋体"/>
                <w:szCs w:val="21"/>
              </w:rPr>
              <w:t xml:space="preserve">名称                    </w:t>
            </w:r>
          </w:p>
        </w:tc>
        <w:tc>
          <w:tcPr>
            <w:tcW w:w="2382" w:type="dxa"/>
            <w:vAlign w:val="center"/>
          </w:tcPr>
          <w:p>
            <w:pPr>
              <w:adjustRightInd w:val="0"/>
              <w:snapToGrid w:val="0"/>
              <w:spacing w:line="300" w:lineRule="auto"/>
              <w:jc w:val="center"/>
              <w:outlineLvl w:val="0"/>
              <w:rPr>
                <w:rFonts w:ascii="宋体" w:hAnsi="宋体"/>
                <w:szCs w:val="21"/>
              </w:rPr>
            </w:pPr>
            <w:r>
              <w:rPr>
                <w:rFonts w:hint="eastAsia" w:ascii="宋体" w:hAnsi="宋体"/>
                <w:szCs w:val="21"/>
              </w:rPr>
              <w:t>文件要求</w:t>
            </w:r>
          </w:p>
        </w:tc>
        <w:tc>
          <w:tcPr>
            <w:tcW w:w="3242" w:type="dxa"/>
            <w:vAlign w:val="center"/>
          </w:tcPr>
          <w:p>
            <w:pPr>
              <w:adjustRightInd w:val="0"/>
              <w:snapToGrid w:val="0"/>
              <w:spacing w:line="300" w:lineRule="auto"/>
              <w:ind w:left="-107" w:leftChars="-51" w:firstLine="107" w:firstLineChars="51"/>
              <w:jc w:val="center"/>
              <w:outlineLvl w:val="0"/>
              <w:rPr>
                <w:rFonts w:ascii="宋体" w:hAnsi="宋体"/>
                <w:szCs w:val="21"/>
              </w:rPr>
            </w:pPr>
            <w:r>
              <w:rPr>
                <w:rFonts w:hint="eastAsia" w:ascii="宋体" w:hAnsi="宋体"/>
                <w:szCs w:val="21"/>
              </w:rPr>
              <w:t>供应商文件具体响应</w:t>
            </w:r>
          </w:p>
        </w:tc>
        <w:tc>
          <w:tcPr>
            <w:tcW w:w="1258" w:type="dxa"/>
            <w:vAlign w:val="center"/>
          </w:tcPr>
          <w:p>
            <w:pPr>
              <w:adjustRightInd w:val="0"/>
              <w:snapToGrid w:val="0"/>
              <w:spacing w:line="300" w:lineRule="auto"/>
              <w:jc w:val="center"/>
              <w:outlineLvl w:val="0"/>
              <w:rPr>
                <w:rFonts w:ascii="宋体" w:hAnsi="宋体"/>
                <w:szCs w:val="21"/>
              </w:rPr>
            </w:pPr>
            <w:r>
              <w:rPr>
                <w:rFonts w:hint="eastAsia" w:ascii="宋体" w:hAnsi="宋体"/>
                <w:szCs w:val="21"/>
              </w:rPr>
              <w:t>响应/偏离</w:t>
            </w:r>
          </w:p>
        </w:tc>
        <w:tc>
          <w:tcPr>
            <w:tcW w:w="987" w:type="dxa"/>
            <w:vAlign w:val="center"/>
          </w:tcPr>
          <w:p>
            <w:pPr>
              <w:adjustRightInd w:val="0"/>
              <w:snapToGrid w:val="0"/>
              <w:spacing w:line="300" w:lineRule="auto"/>
              <w:jc w:val="center"/>
              <w:outlineLvl w:val="0"/>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trPr>
        <w:tc>
          <w:tcPr>
            <w:tcW w:w="667" w:type="dxa"/>
          </w:tcPr>
          <w:p>
            <w:pPr>
              <w:adjustRightInd w:val="0"/>
              <w:snapToGrid w:val="0"/>
              <w:spacing w:line="300" w:lineRule="auto"/>
              <w:jc w:val="center"/>
              <w:outlineLvl w:val="0"/>
              <w:rPr>
                <w:rFonts w:ascii="宋体" w:hAnsi="宋体"/>
                <w:szCs w:val="21"/>
              </w:rPr>
            </w:pPr>
            <w:r>
              <w:rPr>
                <w:rFonts w:hint="eastAsia" w:ascii="宋体" w:hAnsi="宋体"/>
                <w:szCs w:val="21"/>
              </w:rPr>
              <w:t>1</w:t>
            </w:r>
          </w:p>
        </w:tc>
        <w:tc>
          <w:tcPr>
            <w:tcW w:w="1382" w:type="dxa"/>
          </w:tcPr>
          <w:p>
            <w:pPr>
              <w:adjustRightInd w:val="0"/>
              <w:snapToGrid w:val="0"/>
              <w:spacing w:line="300" w:lineRule="auto"/>
              <w:jc w:val="center"/>
              <w:outlineLvl w:val="0"/>
              <w:rPr>
                <w:rFonts w:ascii="宋体" w:hAnsi="宋体"/>
                <w:szCs w:val="21"/>
              </w:rPr>
            </w:pPr>
          </w:p>
        </w:tc>
        <w:tc>
          <w:tcPr>
            <w:tcW w:w="2382" w:type="dxa"/>
          </w:tcPr>
          <w:p>
            <w:pPr>
              <w:adjustRightInd w:val="0"/>
              <w:snapToGrid w:val="0"/>
              <w:spacing w:line="300" w:lineRule="auto"/>
              <w:jc w:val="center"/>
              <w:outlineLvl w:val="0"/>
              <w:rPr>
                <w:rFonts w:ascii="宋体" w:hAnsi="宋体"/>
                <w:szCs w:val="21"/>
              </w:rPr>
            </w:pPr>
          </w:p>
        </w:tc>
        <w:tc>
          <w:tcPr>
            <w:tcW w:w="3242" w:type="dxa"/>
          </w:tcPr>
          <w:p>
            <w:pPr>
              <w:adjustRightInd w:val="0"/>
              <w:snapToGrid w:val="0"/>
              <w:spacing w:line="300" w:lineRule="auto"/>
              <w:jc w:val="center"/>
              <w:outlineLvl w:val="0"/>
              <w:rPr>
                <w:rFonts w:ascii="宋体" w:hAnsi="宋体"/>
                <w:szCs w:val="21"/>
              </w:rPr>
            </w:pPr>
          </w:p>
        </w:tc>
        <w:tc>
          <w:tcPr>
            <w:tcW w:w="1258" w:type="dxa"/>
          </w:tcPr>
          <w:p>
            <w:pPr>
              <w:adjustRightInd w:val="0"/>
              <w:snapToGrid w:val="0"/>
              <w:spacing w:line="300" w:lineRule="auto"/>
              <w:jc w:val="center"/>
              <w:outlineLvl w:val="0"/>
              <w:rPr>
                <w:rFonts w:ascii="宋体" w:hAnsi="宋体"/>
                <w:szCs w:val="21"/>
              </w:rPr>
            </w:pPr>
          </w:p>
        </w:tc>
        <w:tc>
          <w:tcPr>
            <w:tcW w:w="987" w:type="dxa"/>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trPr>
        <w:tc>
          <w:tcPr>
            <w:tcW w:w="667" w:type="dxa"/>
          </w:tcPr>
          <w:p>
            <w:pPr>
              <w:adjustRightInd w:val="0"/>
              <w:snapToGrid w:val="0"/>
              <w:spacing w:line="300" w:lineRule="auto"/>
              <w:jc w:val="center"/>
              <w:outlineLvl w:val="0"/>
              <w:rPr>
                <w:rFonts w:ascii="宋体" w:hAnsi="宋体"/>
                <w:szCs w:val="21"/>
              </w:rPr>
            </w:pPr>
            <w:r>
              <w:rPr>
                <w:rFonts w:hint="eastAsia" w:ascii="宋体" w:hAnsi="宋体"/>
                <w:szCs w:val="21"/>
              </w:rPr>
              <w:t>2</w:t>
            </w:r>
          </w:p>
        </w:tc>
        <w:tc>
          <w:tcPr>
            <w:tcW w:w="1382" w:type="dxa"/>
          </w:tcPr>
          <w:p>
            <w:pPr>
              <w:adjustRightInd w:val="0"/>
              <w:snapToGrid w:val="0"/>
              <w:spacing w:line="300" w:lineRule="auto"/>
              <w:jc w:val="center"/>
              <w:outlineLvl w:val="0"/>
              <w:rPr>
                <w:rFonts w:ascii="宋体" w:hAnsi="宋体"/>
                <w:szCs w:val="21"/>
              </w:rPr>
            </w:pPr>
          </w:p>
        </w:tc>
        <w:tc>
          <w:tcPr>
            <w:tcW w:w="2382" w:type="dxa"/>
          </w:tcPr>
          <w:p>
            <w:pPr>
              <w:adjustRightInd w:val="0"/>
              <w:snapToGrid w:val="0"/>
              <w:spacing w:line="300" w:lineRule="auto"/>
              <w:jc w:val="center"/>
              <w:outlineLvl w:val="0"/>
              <w:rPr>
                <w:rFonts w:ascii="宋体" w:hAnsi="宋体"/>
                <w:szCs w:val="21"/>
              </w:rPr>
            </w:pPr>
          </w:p>
        </w:tc>
        <w:tc>
          <w:tcPr>
            <w:tcW w:w="3242" w:type="dxa"/>
          </w:tcPr>
          <w:p>
            <w:pPr>
              <w:adjustRightInd w:val="0"/>
              <w:snapToGrid w:val="0"/>
              <w:spacing w:line="300" w:lineRule="auto"/>
              <w:jc w:val="center"/>
              <w:outlineLvl w:val="0"/>
              <w:rPr>
                <w:rFonts w:ascii="宋体" w:hAnsi="宋体"/>
                <w:szCs w:val="21"/>
              </w:rPr>
            </w:pPr>
          </w:p>
        </w:tc>
        <w:tc>
          <w:tcPr>
            <w:tcW w:w="1258" w:type="dxa"/>
          </w:tcPr>
          <w:p>
            <w:pPr>
              <w:adjustRightInd w:val="0"/>
              <w:snapToGrid w:val="0"/>
              <w:spacing w:line="300" w:lineRule="auto"/>
              <w:jc w:val="center"/>
              <w:outlineLvl w:val="0"/>
              <w:rPr>
                <w:rFonts w:ascii="宋体" w:hAnsi="宋体"/>
                <w:szCs w:val="21"/>
              </w:rPr>
            </w:pPr>
          </w:p>
        </w:tc>
        <w:tc>
          <w:tcPr>
            <w:tcW w:w="987" w:type="dxa"/>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trPr>
        <w:tc>
          <w:tcPr>
            <w:tcW w:w="667" w:type="dxa"/>
            <w:vAlign w:val="center"/>
          </w:tcPr>
          <w:p>
            <w:pPr>
              <w:adjustRightInd w:val="0"/>
              <w:snapToGrid w:val="0"/>
              <w:spacing w:line="300" w:lineRule="auto"/>
              <w:jc w:val="center"/>
              <w:outlineLvl w:val="0"/>
              <w:rPr>
                <w:rFonts w:ascii="宋体" w:hAnsi="宋体"/>
                <w:szCs w:val="21"/>
              </w:rPr>
            </w:pPr>
            <w:r>
              <w:rPr>
                <w:rFonts w:hint="eastAsia" w:ascii="宋体" w:hAnsi="宋体"/>
                <w:szCs w:val="21"/>
              </w:rPr>
              <w:t>…</w:t>
            </w:r>
          </w:p>
        </w:tc>
        <w:tc>
          <w:tcPr>
            <w:tcW w:w="1382" w:type="dxa"/>
            <w:vAlign w:val="center"/>
          </w:tcPr>
          <w:p>
            <w:pPr>
              <w:adjustRightInd w:val="0"/>
              <w:snapToGrid w:val="0"/>
              <w:spacing w:line="300" w:lineRule="auto"/>
              <w:jc w:val="center"/>
              <w:outlineLvl w:val="0"/>
              <w:rPr>
                <w:rFonts w:ascii="宋体" w:hAnsi="宋体"/>
                <w:szCs w:val="21"/>
              </w:rPr>
            </w:pPr>
          </w:p>
        </w:tc>
        <w:tc>
          <w:tcPr>
            <w:tcW w:w="2382" w:type="dxa"/>
            <w:vAlign w:val="center"/>
          </w:tcPr>
          <w:p>
            <w:pPr>
              <w:adjustRightInd w:val="0"/>
              <w:snapToGrid w:val="0"/>
              <w:spacing w:line="300" w:lineRule="auto"/>
              <w:jc w:val="center"/>
              <w:outlineLvl w:val="0"/>
              <w:rPr>
                <w:rFonts w:ascii="宋体" w:hAnsi="宋体"/>
                <w:szCs w:val="21"/>
              </w:rPr>
            </w:pPr>
          </w:p>
        </w:tc>
        <w:tc>
          <w:tcPr>
            <w:tcW w:w="3242" w:type="dxa"/>
            <w:vAlign w:val="center"/>
          </w:tcPr>
          <w:p>
            <w:pPr>
              <w:adjustRightInd w:val="0"/>
              <w:snapToGrid w:val="0"/>
              <w:spacing w:line="300" w:lineRule="auto"/>
              <w:jc w:val="center"/>
              <w:outlineLvl w:val="0"/>
              <w:rPr>
                <w:rFonts w:ascii="宋体" w:hAnsi="宋体"/>
                <w:szCs w:val="21"/>
              </w:rPr>
            </w:pPr>
          </w:p>
        </w:tc>
        <w:tc>
          <w:tcPr>
            <w:tcW w:w="1258" w:type="dxa"/>
            <w:tcBorders>
              <w:right w:val="single" w:color="auto" w:sz="4" w:space="0"/>
            </w:tcBorders>
            <w:vAlign w:val="center"/>
          </w:tcPr>
          <w:p>
            <w:pPr>
              <w:adjustRightInd w:val="0"/>
              <w:snapToGrid w:val="0"/>
              <w:spacing w:line="300" w:lineRule="auto"/>
              <w:jc w:val="center"/>
              <w:outlineLvl w:val="0"/>
              <w:rPr>
                <w:rFonts w:ascii="宋体" w:hAnsi="宋体"/>
                <w:szCs w:val="21"/>
              </w:rPr>
            </w:pPr>
          </w:p>
        </w:tc>
        <w:tc>
          <w:tcPr>
            <w:tcW w:w="987" w:type="dxa"/>
            <w:tcBorders>
              <w:left w:val="single" w:color="auto" w:sz="4" w:space="0"/>
            </w:tcBorders>
            <w:vAlign w:val="center"/>
          </w:tcPr>
          <w:p>
            <w:pPr>
              <w:adjustRightInd w:val="0"/>
              <w:snapToGrid w:val="0"/>
              <w:spacing w:line="300" w:lineRule="auto"/>
              <w:jc w:val="center"/>
              <w:outlineLvl w:val="0"/>
              <w:rPr>
                <w:rFonts w:ascii="宋体" w:hAnsi="宋体"/>
                <w:szCs w:val="21"/>
              </w:rPr>
            </w:pPr>
          </w:p>
        </w:tc>
      </w:tr>
    </w:tbl>
    <w:p>
      <w:pPr>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60" w:lineRule="exact"/>
        <w:rPr>
          <w:rFonts w:hAnsi="宋体"/>
          <w:szCs w:val="21"/>
        </w:rPr>
      </w:pPr>
      <w:r>
        <w:rPr>
          <w:rFonts w:hint="eastAsia" w:ascii="宋体" w:hAnsi="宋体"/>
          <w:szCs w:val="21"/>
        </w:rPr>
        <w:t>说明：</w:t>
      </w:r>
      <w:r>
        <w:rPr>
          <w:rFonts w:hint="eastAsia" w:hAnsi="宋体"/>
        </w:rPr>
        <w:t>1、应写明文件对技术要求的响应和偏离情况；</w:t>
      </w:r>
    </w:p>
    <w:p>
      <w:pPr>
        <w:pStyle w:val="2"/>
        <w:spacing w:line="500" w:lineRule="exact"/>
        <w:ind w:firstLine="630" w:firstLineChars="300"/>
        <w:rPr>
          <w:rFonts w:ascii="宋体" w:hAnsi="宋体" w:eastAsia="宋体"/>
          <w:sz w:val="21"/>
          <w:szCs w:val="21"/>
        </w:rPr>
      </w:pPr>
      <w:r>
        <w:rPr>
          <w:rFonts w:hint="eastAsia" w:ascii="宋体" w:hAnsi="宋体" w:eastAsia="宋体"/>
          <w:sz w:val="21"/>
          <w:szCs w:val="21"/>
        </w:rPr>
        <w:t>2、应对照项目需求，逐条说明所提供货物和服务已对文件的技术规格做出了实质性的响应，并申明与技术规格条文的响应和偏离。特别对有具体参数要求的指标，供应商必须提供所供设备的具体参数值。如果仅注明“符合”、“满足”或简单复制询价文件要求，将导致询价资格被取消。</w:t>
      </w:r>
    </w:p>
    <w:p>
      <w:pPr>
        <w:pStyle w:val="3"/>
        <w:spacing w:line="300" w:lineRule="auto"/>
        <w:rPr>
          <w:rFonts w:hAnsi="宋体"/>
        </w:rPr>
      </w:pPr>
    </w:p>
    <w:p>
      <w:pPr>
        <w:pStyle w:val="3"/>
        <w:spacing w:line="300" w:lineRule="auto"/>
        <w:rPr>
          <w:rFonts w:hAnsi="宋体"/>
        </w:rPr>
      </w:pPr>
    </w:p>
    <w:p>
      <w:pPr>
        <w:pStyle w:val="3"/>
        <w:spacing w:line="300" w:lineRule="auto"/>
        <w:ind w:firstLine="1470" w:firstLineChars="700"/>
        <w:rPr>
          <w:rFonts w:hAnsi="宋体"/>
        </w:rPr>
      </w:pPr>
      <w:r>
        <w:rPr>
          <w:rFonts w:hint="eastAsia" w:hAnsi="宋体"/>
        </w:rPr>
        <w:t>法定代表人或法定代表人授权代表签字:</w:t>
      </w:r>
      <w:r>
        <w:rPr>
          <w:rFonts w:hint="eastAsia" w:hAnsi="宋体"/>
          <w:u w:val="single"/>
        </w:rPr>
        <w:t xml:space="preserve">                </w:t>
      </w:r>
      <w:r>
        <w:rPr>
          <w:rFonts w:hint="eastAsia" w:hAnsi="宋体"/>
        </w:rPr>
        <w:t xml:space="preserve">  </w:t>
      </w:r>
    </w:p>
    <w:p>
      <w:pPr>
        <w:pStyle w:val="3"/>
        <w:spacing w:line="300" w:lineRule="auto"/>
        <w:ind w:firstLine="4935" w:firstLineChars="2350"/>
        <w:rPr>
          <w:rFonts w:hAnsi="宋体"/>
          <w:u w:val="single"/>
        </w:rPr>
      </w:pP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jc w:val="left"/>
        <w:rPr>
          <w:rFonts w:ascii="宋体" w:hAnsi="宋体"/>
          <w:b/>
          <w:bCs/>
          <w:kern w:val="0"/>
          <w:sz w:val="30"/>
          <w:szCs w:val="30"/>
        </w:rPr>
      </w:pPr>
      <w:r>
        <w:rPr>
          <w:rFonts w:hint="eastAsia" w:asciiTheme="majorEastAsia" w:hAnsiTheme="majorEastAsia" w:eastAsiaTheme="majorEastAsia"/>
          <w:b/>
          <w:sz w:val="32"/>
          <w:szCs w:val="32"/>
        </w:rPr>
        <w:t>4、</w:t>
      </w:r>
      <w:r>
        <w:rPr>
          <w:rFonts w:hint="eastAsia" w:ascii="宋体" w:hAnsi="宋体"/>
          <w:b/>
          <w:bCs/>
          <w:kern w:val="0"/>
          <w:sz w:val="30"/>
          <w:szCs w:val="30"/>
        </w:rPr>
        <w:t>服务方案和实施方案等</w:t>
      </w:r>
    </w:p>
    <w:p>
      <w:pPr>
        <w:spacing w:line="440" w:lineRule="exact"/>
        <w:ind w:firstLine="396" w:firstLineChars="198"/>
        <w:rPr>
          <w:rFonts w:ascii="宋体" w:hAnsi="宋体"/>
          <w:kern w:val="0"/>
          <w:sz w:val="20"/>
          <w:szCs w:val="21"/>
        </w:rPr>
      </w:pPr>
    </w:p>
    <w:p>
      <w:pPr>
        <w:spacing w:line="440" w:lineRule="exact"/>
        <w:ind w:firstLine="415" w:firstLineChars="198"/>
        <w:jc w:val="left"/>
        <w:rPr>
          <w:rFonts w:ascii="宋体" w:hAnsi="宋体"/>
          <w:kern w:val="0"/>
          <w:szCs w:val="21"/>
        </w:rPr>
      </w:pPr>
      <w:r>
        <w:rPr>
          <w:rFonts w:hint="eastAsia" w:ascii="宋体" w:hAnsi="宋体"/>
          <w:kern w:val="0"/>
          <w:szCs w:val="21"/>
        </w:rPr>
        <w:t>由供应商按本项目竞争性磋商文件项目需求及评分办法中的评分点自行编制，相关支撑材料等</w:t>
      </w: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b/>
          <w:sz w:val="32"/>
          <w:szCs w:val="32"/>
        </w:rPr>
      </w:pPr>
    </w:p>
    <w:p>
      <w:pPr>
        <w:spacing w:line="500" w:lineRule="exact"/>
        <w:rPr>
          <w:rFonts w:asciiTheme="majorEastAsia" w:hAnsiTheme="majorEastAsia" w:eastAsiaTheme="majorEastAsia"/>
          <w:sz w:val="32"/>
          <w:szCs w:val="32"/>
        </w:rPr>
      </w:pPr>
      <w:r>
        <w:rPr>
          <w:rFonts w:hint="eastAsia" w:asciiTheme="majorEastAsia" w:hAnsiTheme="majorEastAsia" w:eastAsiaTheme="majorEastAsia"/>
          <w:b/>
          <w:sz w:val="32"/>
          <w:szCs w:val="32"/>
        </w:rPr>
        <w:t>5、投标单位资质文件资料清单</w:t>
      </w:r>
      <w:r>
        <w:rPr>
          <w:rFonts w:hint="eastAsia" w:asciiTheme="majorEastAsia" w:hAnsiTheme="majorEastAsia" w:eastAsiaTheme="majorEastAsia"/>
          <w:sz w:val="32"/>
          <w:szCs w:val="32"/>
        </w:rPr>
        <w:t xml:space="preserve"> </w:t>
      </w:r>
    </w:p>
    <w:p>
      <w:pPr>
        <w:spacing w:line="500" w:lineRule="exact"/>
        <w:ind w:firstLine="560" w:firstLineChars="200"/>
        <w:rPr>
          <w:rFonts w:asciiTheme="majorEastAsia" w:hAnsiTheme="majorEastAsia" w:eastAsiaTheme="majorEastAsia"/>
          <w:sz w:val="28"/>
        </w:rPr>
      </w:pP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（1）企业营业执照（副本复印件）。</w:t>
      </w:r>
    </w:p>
    <w:p>
      <w:pPr>
        <w:spacing w:line="500" w:lineRule="exact"/>
        <w:ind w:firstLine="562" w:firstLineChars="200"/>
        <w:rPr>
          <w:rFonts w:asciiTheme="majorEastAsia" w:hAnsiTheme="majorEastAsia" w:eastAsiaTheme="majorEastAsia"/>
          <w:b/>
          <w:sz w:val="28"/>
        </w:rPr>
      </w:pPr>
    </w:p>
    <w:p>
      <w:pPr>
        <w:spacing w:line="500" w:lineRule="exact"/>
        <w:ind w:firstLine="562" w:firstLineChars="200"/>
        <w:rPr>
          <w:rFonts w:asciiTheme="majorEastAsia" w:hAnsiTheme="majorEastAsia" w:eastAsiaTheme="majorEastAsia"/>
          <w:b/>
          <w:sz w:val="28"/>
        </w:rPr>
      </w:pPr>
    </w:p>
    <w:p>
      <w:pPr>
        <w:spacing w:line="500" w:lineRule="exact"/>
        <w:ind w:firstLine="562" w:firstLineChars="200"/>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500" w:lineRule="exact"/>
        <w:rPr>
          <w:rFonts w:asciiTheme="majorEastAsia" w:hAnsiTheme="majorEastAsia" w:eastAsiaTheme="majorEastAsia"/>
          <w:b/>
          <w:sz w:val="28"/>
        </w:rPr>
      </w:pPr>
    </w:p>
    <w:p>
      <w:pPr>
        <w:spacing w:line="480" w:lineRule="exact"/>
        <w:rPr>
          <w:rFonts w:asciiTheme="majorEastAsia" w:hAnsiTheme="majorEastAsia" w:eastAsiaTheme="majorEastAsia"/>
          <w:sz w:val="32"/>
          <w:szCs w:val="32"/>
        </w:rPr>
      </w:pPr>
      <w:r>
        <w:rPr>
          <w:rFonts w:hint="eastAsia" w:asciiTheme="majorEastAsia" w:hAnsiTheme="majorEastAsia" w:eastAsiaTheme="majorEastAsia"/>
          <w:b/>
          <w:sz w:val="32"/>
          <w:szCs w:val="32"/>
        </w:rPr>
        <w:t>6、法定代表人授权书</w:t>
      </w:r>
    </w:p>
    <w:p>
      <w:pPr>
        <w:spacing w:line="500" w:lineRule="exact"/>
        <w:ind w:left="420"/>
        <w:rPr>
          <w:rFonts w:asciiTheme="majorEastAsia" w:hAnsiTheme="majorEastAsia" w:eastAsiaTheme="majorEastAsia"/>
          <w:sz w:val="24"/>
        </w:rPr>
      </w:pPr>
      <w:r>
        <w:rPr>
          <w:rFonts w:hint="eastAsia" w:asciiTheme="majorEastAsia" w:hAnsiTheme="majorEastAsia" w:eastAsiaTheme="majorEastAsia"/>
          <w:sz w:val="24"/>
        </w:rPr>
        <w:t xml:space="preserve">           </w:t>
      </w:r>
    </w:p>
    <w:p>
      <w:pPr>
        <w:spacing w:line="500" w:lineRule="exact"/>
        <w:jc w:val="center"/>
        <w:rPr>
          <w:rFonts w:ascii="黑体" w:hAnsi="黑体" w:eastAsia="黑体"/>
          <w:sz w:val="44"/>
          <w:szCs w:val="44"/>
        </w:rPr>
      </w:pPr>
      <w:r>
        <w:rPr>
          <w:rFonts w:hint="eastAsia" w:ascii="黑体" w:hAnsi="黑体" w:eastAsia="黑体"/>
          <w:sz w:val="44"/>
          <w:szCs w:val="44"/>
        </w:rPr>
        <w:t>法定代表人授权书</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u w:val="single"/>
        </w:rPr>
      </w:pPr>
      <w:r>
        <w:rPr>
          <w:rFonts w:hint="eastAsia" w:asciiTheme="majorEastAsia" w:hAnsiTheme="majorEastAsia" w:eastAsiaTheme="majorEastAsia"/>
          <w:sz w:val="28"/>
        </w:rPr>
        <w:t>致：</w:t>
      </w:r>
      <w:r>
        <w:rPr>
          <w:rFonts w:hint="eastAsia" w:asciiTheme="majorEastAsia" w:hAnsiTheme="majorEastAsia" w:eastAsiaTheme="majorEastAsia"/>
          <w:sz w:val="28"/>
          <w:u w:val="single"/>
        </w:rPr>
        <w:t xml:space="preserve"> 广西工商职业技术学院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（竞标人名称），中华人民共和国合法企业，法定地址：</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（法定代表人）特授权</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代表我公司全权办理</w:t>
      </w:r>
      <w:r>
        <w:rPr>
          <w:rFonts w:hint="eastAsia" w:cs="宋体" w:asciiTheme="majorEastAsia" w:hAnsiTheme="majorEastAsia" w:eastAsiaTheme="majorEastAsia"/>
          <w:kern w:val="0"/>
          <w:sz w:val="28"/>
        </w:rPr>
        <w:t>广西工商职业技术学院</w:t>
      </w:r>
      <w:r>
        <w:rPr>
          <w:rFonts w:hint="eastAsia" w:asciiTheme="minorEastAsia" w:hAnsiTheme="minorEastAsia" w:eastAsiaTheme="minorEastAsia"/>
          <w:sz w:val="28"/>
          <w:szCs w:val="28"/>
          <w:u w:val="single"/>
        </w:rPr>
        <w:t>财务核算软件（含核算、报表模块）</w:t>
      </w:r>
      <w:r>
        <w:rPr>
          <w:rFonts w:hint="eastAsia" w:cs="宋体" w:asciiTheme="majorEastAsia" w:hAnsiTheme="majorEastAsia" w:eastAsiaTheme="majorEastAsia"/>
          <w:kern w:val="0"/>
          <w:sz w:val="28"/>
        </w:rPr>
        <w:t>采购</w:t>
      </w:r>
      <w:r>
        <w:rPr>
          <w:rFonts w:hint="eastAsia" w:asciiTheme="majorEastAsia" w:hAnsiTheme="majorEastAsia" w:eastAsiaTheme="majorEastAsia"/>
          <w:sz w:val="28"/>
        </w:rPr>
        <w:t>的竞标、谈判、签约、执行等具体工作，并签署全部有关的文件、协议及合同。</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我公司对被授权人签署的所有文件、协议及合同负全部责任。</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在招标人或招标服务单位收到撤销本授权的通知以前，本授权书一直有效。被授权人签署的所有文件、协议和合同（在本授权书有效期内签署的）不因授权的撤销而失效。</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被授权人不得转授权。</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被授权人签名：</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授权人签名：</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职务：</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职务：</w:t>
      </w:r>
      <w:r>
        <w:rPr>
          <w:rFonts w:hint="eastAsia" w:asciiTheme="majorEastAsia" w:hAnsiTheme="majorEastAsia" w:eastAsiaTheme="majorEastAsia"/>
          <w:sz w:val="28"/>
          <w:u w:val="single"/>
        </w:rPr>
        <w:t xml:space="preserve">                     </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wordWrap w:val="0"/>
        <w:spacing w:line="500" w:lineRule="exact"/>
        <w:ind w:firstLine="5320" w:firstLineChars="1900"/>
        <w:jc w:val="right"/>
        <w:rPr>
          <w:rFonts w:asciiTheme="majorEastAsia" w:hAnsiTheme="majorEastAsia" w:eastAsiaTheme="majorEastAsia"/>
          <w:sz w:val="28"/>
        </w:rPr>
      </w:pPr>
      <w:r>
        <w:rPr>
          <w:rFonts w:hint="eastAsia" w:asciiTheme="majorEastAsia" w:hAnsiTheme="majorEastAsia" w:eastAsiaTheme="majorEastAsia"/>
          <w:sz w:val="28"/>
        </w:rPr>
        <w:t xml:space="preserve">（公章）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spacing w:line="500" w:lineRule="exact"/>
        <w:ind w:firstLine="5460" w:firstLineChars="1950"/>
        <w:rPr>
          <w:rFonts w:asciiTheme="majorEastAsia" w:hAnsiTheme="majorEastAsia" w:eastAsiaTheme="majorEastAsia"/>
          <w:sz w:val="28"/>
        </w:rPr>
      </w:pPr>
    </w:p>
    <w:p>
      <w:pPr>
        <w:wordWrap w:val="0"/>
        <w:spacing w:line="500" w:lineRule="exact"/>
        <w:ind w:firstLine="5460" w:firstLineChars="1950"/>
        <w:jc w:val="right"/>
        <w:rPr>
          <w:rFonts w:asciiTheme="majorEastAsia" w:hAnsiTheme="majorEastAsia" w:eastAsiaTheme="majorEastAsia"/>
          <w:sz w:val="28"/>
        </w:rPr>
      </w:pPr>
      <w:r>
        <w:rPr>
          <w:rFonts w:hint="eastAsia" w:asciiTheme="majorEastAsia" w:hAnsiTheme="majorEastAsia" w:eastAsiaTheme="majorEastAsia"/>
          <w:sz w:val="28"/>
        </w:rPr>
        <w:t xml:space="preserve"> 年   月   日    </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注：本授权书必须由法定代表人本人签署。</w:t>
      </w:r>
    </w:p>
    <w:p>
      <w:pPr>
        <w:spacing w:line="500" w:lineRule="exact"/>
        <w:rPr>
          <w:rFonts w:asciiTheme="majorEastAsia" w:hAnsiTheme="majorEastAsia" w:eastAsiaTheme="majorEastAsia"/>
          <w:b/>
          <w:sz w:val="32"/>
        </w:rPr>
      </w:pPr>
      <w:r>
        <w:rPr>
          <w:rFonts w:hint="eastAsia" w:asciiTheme="majorEastAsia" w:hAnsiTheme="majorEastAsia" w:eastAsiaTheme="majorEastAsia"/>
          <w:b/>
          <w:sz w:val="32"/>
        </w:rPr>
        <w:t>7、投标人授权代表身份证明书</w:t>
      </w:r>
    </w:p>
    <w:p>
      <w:pPr>
        <w:spacing w:line="500" w:lineRule="exact"/>
        <w:rPr>
          <w:rFonts w:asciiTheme="majorEastAsia" w:hAnsiTheme="majorEastAsia" w:eastAsiaTheme="majorEastAsia"/>
          <w:sz w:val="28"/>
        </w:rPr>
      </w:pPr>
    </w:p>
    <w:p>
      <w:pPr>
        <w:spacing w:line="500" w:lineRule="exact"/>
        <w:jc w:val="center"/>
        <w:rPr>
          <w:rFonts w:ascii="黑体" w:hAnsi="黑体" w:eastAsia="黑体"/>
          <w:sz w:val="44"/>
          <w:szCs w:val="44"/>
        </w:rPr>
      </w:pPr>
      <w:r>
        <w:rPr>
          <w:rFonts w:hint="eastAsia" w:ascii="黑体" w:hAnsi="黑体" w:eastAsia="黑体"/>
          <w:sz w:val="44"/>
          <w:szCs w:val="44"/>
        </w:rPr>
        <w:t>竞标人授权代表身份证明书</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致：</w:t>
      </w:r>
      <w:r>
        <w:rPr>
          <w:rFonts w:hint="eastAsia" w:asciiTheme="majorEastAsia" w:hAnsiTheme="majorEastAsia" w:eastAsiaTheme="majorEastAsia"/>
          <w:sz w:val="28"/>
          <w:u w:val="single"/>
        </w:rPr>
        <w:t>广西工商职业技术学院</w:t>
      </w:r>
    </w:p>
    <w:p>
      <w:pPr>
        <w:spacing w:line="500" w:lineRule="exact"/>
        <w:ind w:firstLine="570"/>
        <w:rPr>
          <w:rFonts w:asciiTheme="majorEastAsia" w:hAnsiTheme="majorEastAsia" w:eastAsiaTheme="majorEastAsia"/>
          <w:sz w:val="28"/>
        </w:rPr>
      </w:pPr>
      <w:r>
        <w:rPr>
          <w:rFonts w:hint="eastAsia" w:asciiTheme="majorEastAsia" w:hAnsiTheme="majorEastAsia" w:eastAsiaTheme="majorEastAsia"/>
          <w:sz w:val="28"/>
        </w:rPr>
        <w:t>兹委托授权</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（被授权人）前来参加</w:t>
      </w:r>
      <w:r>
        <w:rPr>
          <w:rFonts w:hint="eastAsia" w:cs="宋体" w:asciiTheme="majorEastAsia" w:hAnsiTheme="majorEastAsia" w:eastAsiaTheme="majorEastAsia"/>
          <w:kern w:val="0"/>
          <w:sz w:val="28"/>
        </w:rPr>
        <w:t>广西工商职业技术学院</w:t>
      </w:r>
      <w:r>
        <w:rPr>
          <w:rFonts w:hint="eastAsia" w:asciiTheme="minorEastAsia" w:hAnsiTheme="minorEastAsia" w:eastAsiaTheme="minorEastAsia"/>
          <w:sz w:val="28"/>
          <w:szCs w:val="28"/>
          <w:u w:val="single"/>
        </w:rPr>
        <w:t>财务核算软件（含核算、报表模块）</w:t>
      </w:r>
      <w:r>
        <w:rPr>
          <w:rFonts w:hint="eastAsia" w:cs="宋体" w:asciiTheme="majorEastAsia" w:hAnsiTheme="majorEastAsia" w:eastAsiaTheme="majorEastAsia"/>
          <w:kern w:val="0"/>
          <w:sz w:val="28"/>
          <w:szCs w:val="28"/>
        </w:rPr>
        <w:t>采购</w:t>
      </w:r>
      <w:r>
        <w:rPr>
          <w:rFonts w:hint="eastAsia" w:asciiTheme="majorEastAsia" w:hAnsiTheme="majorEastAsia" w:eastAsiaTheme="majorEastAsia"/>
          <w:sz w:val="28"/>
        </w:rPr>
        <w:t>的竞标、谈判、签约、执行等具体工作。</w:t>
      </w:r>
    </w:p>
    <w:p>
      <w:pPr>
        <w:spacing w:line="500" w:lineRule="exact"/>
        <w:ind w:firstLine="570"/>
        <w:rPr>
          <w:rFonts w:asciiTheme="majorEastAsia" w:hAnsiTheme="majorEastAsia" w:eastAsiaTheme="majorEastAsia"/>
          <w:sz w:val="28"/>
        </w:rPr>
      </w:pPr>
      <w:r>
        <w:rPr>
          <w:rFonts w:hint="eastAsia" w:asciiTheme="majorEastAsia" w:hAnsiTheme="majorEastAsia" w:eastAsiaTheme="majorEastAsia"/>
          <w:sz w:val="28"/>
        </w:rPr>
        <w:t>特此证明</w:t>
      </w:r>
    </w:p>
    <w:p>
      <w:pPr>
        <w:spacing w:line="500" w:lineRule="exact"/>
        <w:ind w:firstLine="570"/>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附：</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（授权人）身份证扫描件（正、反面）</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（被授权人）身份证扫描件（正、反面）</w:t>
      </w:r>
    </w:p>
    <w:p>
      <w:pPr>
        <w:spacing w:line="500" w:lineRule="exact"/>
        <w:ind w:firstLine="420" w:firstLineChars="150"/>
        <w:rPr>
          <w:rFonts w:asciiTheme="majorEastAsia" w:hAnsiTheme="majorEastAsia" w:eastAsiaTheme="majorEastAsia"/>
          <w:sz w:val="28"/>
        </w:rPr>
      </w:pPr>
    </w:p>
    <w:tbl>
      <w:tblPr>
        <w:tblStyle w:val="7"/>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trPr>
        <w:tc>
          <w:tcPr>
            <w:tcW w:w="4910" w:type="dxa"/>
          </w:tcPr>
          <w:p>
            <w:pPr>
              <w:spacing w:line="500" w:lineRule="exact"/>
              <w:rPr>
                <w:rFonts w:asciiTheme="majorEastAsia" w:hAnsiTheme="majorEastAsia" w:eastAsiaTheme="majorEastAsia"/>
                <w:b/>
                <w:sz w:val="28"/>
              </w:rPr>
            </w:pPr>
          </w:p>
        </w:tc>
        <w:tc>
          <w:tcPr>
            <w:tcW w:w="4910" w:type="dxa"/>
          </w:tcPr>
          <w:p>
            <w:pPr>
              <w:spacing w:line="500" w:lineRule="exact"/>
              <w:rPr>
                <w:rFonts w:asciiTheme="majorEastAsia" w:hAnsiTheme="majorEastAsia" w:eastAsiaTheme="major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4910" w:type="dxa"/>
          </w:tcPr>
          <w:p>
            <w:pPr>
              <w:spacing w:line="500" w:lineRule="exact"/>
              <w:rPr>
                <w:rFonts w:asciiTheme="majorEastAsia" w:hAnsiTheme="majorEastAsia" w:eastAsiaTheme="majorEastAsia"/>
                <w:b/>
                <w:sz w:val="28"/>
              </w:rPr>
            </w:pPr>
          </w:p>
        </w:tc>
        <w:tc>
          <w:tcPr>
            <w:tcW w:w="4910" w:type="dxa"/>
          </w:tcPr>
          <w:p>
            <w:pPr>
              <w:spacing w:line="500" w:lineRule="exact"/>
              <w:rPr>
                <w:rFonts w:asciiTheme="majorEastAsia" w:hAnsiTheme="majorEastAsia" w:eastAsiaTheme="majorEastAsia"/>
                <w:b/>
                <w:sz w:val="28"/>
              </w:rPr>
            </w:pPr>
          </w:p>
        </w:tc>
      </w:tr>
    </w:tbl>
    <w:p>
      <w:pPr>
        <w:wordWrap w:val="0"/>
        <w:spacing w:line="500" w:lineRule="exact"/>
        <w:ind w:firstLine="3920" w:firstLineChars="1400"/>
        <w:jc w:val="right"/>
        <w:rPr>
          <w:rFonts w:asciiTheme="majorEastAsia" w:hAnsiTheme="majorEastAsia" w:eastAsiaTheme="majorEastAsia"/>
          <w:sz w:val="28"/>
        </w:rPr>
      </w:pPr>
      <w:r>
        <w:rPr>
          <w:rFonts w:hint="eastAsia" w:asciiTheme="majorEastAsia" w:hAnsiTheme="majorEastAsia" w:eastAsiaTheme="majorEastAsia"/>
          <w:sz w:val="28"/>
        </w:rPr>
        <w:t>授权代表签字：</w:t>
      </w:r>
      <w:r>
        <w:rPr>
          <w:rFonts w:hint="eastAsia" w:asciiTheme="majorEastAsia" w:hAnsiTheme="majorEastAsia" w:eastAsiaTheme="majorEastAsia"/>
          <w:sz w:val="28"/>
          <w:u w:val="single"/>
        </w:rPr>
        <w:t xml:space="preserve">                       </w:t>
      </w:r>
    </w:p>
    <w:p>
      <w:pPr>
        <w:wordWrap w:val="0"/>
        <w:spacing w:line="500" w:lineRule="exact"/>
        <w:ind w:firstLine="3920" w:firstLineChars="1400"/>
        <w:jc w:val="right"/>
        <w:rPr>
          <w:rFonts w:asciiTheme="majorEastAsia" w:hAnsiTheme="majorEastAsia" w:eastAsiaTheme="majorEastAsia"/>
          <w:sz w:val="28"/>
        </w:rPr>
      </w:pPr>
      <w:r>
        <w:rPr>
          <w:rFonts w:hint="eastAsia" w:asciiTheme="majorEastAsia" w:hAnsiTheme="majorEastAsia" w:eastAsiaTheme="majorEastAsia"/>
          <w:sz w:val="28"/>
        </w:rPr>
        <w:t xml:space="preserve">供应商名称（公章）    </w:t>
      </w:r>
    </w:p>
    <w:p>
      <w:pPr>
        <w:wordWrap w:val="0"/>
        <w:spacing w:line="500" w:lineRule="exact"/>
        <w:ind w:firstLine="1084" w:firstLineChars="450"/>
        <w:jc w:val="right"/>
        <w:rPr>
          <w:rFonts w:asciiTheme="majorEastAsia" w:hAnsiTheme="majorEastAsia" w:eastAsiaTheme="majorEastAsia"/>
          <w:sz w:val="24"/>
        </w:rPr>
        <w:sectPr>
          <w:footerReference r:id="rId3" w:type="default"/>
          <w:footerReference r:id="rId4" w:type="even"/>
          <w:pgSz w:w="11906" w:h="16838"/>
          <w:pgMar w:top="851" w:right="1196" w:bottom="851" w:left="1134" w:header="851" w:footer="992" w:gutter="0"/>
          <w:cols w:space="720" w:num="1"/>
          <w:docGrid w:type="lines" w:linePitch="312" w:charSpace="0"/>
        </w:sectPr>
      </w:pPr>
      <w:r>
        <w:rPr>
          <w:rFonts w:hint="eastAsia" w:asciiTheme="majorEastAsia" w:hAnsiTheme="majorEastAsia" w:eastAsiaTheme="majorEastAsia"/>
          <w:b/>
          <w:sz w:val="24"/>
        </w:rPr>
        <w:t xml:space="preserve">      </w:t>
      </w:r>
      <w:r>
        <w:rPr>
          <w:rFonts w:hint="eastAsia" w:asciiTheme="majorEastAsia" w:hAnsiTheme="majorEastAsia" w:eastAsiaTheme="majorEastAsia"/>
          <w:sz w:val="28"/>
        </w:rPr>
        <w:t xml:space="preserve"> 年   月    日 </w:t>
      </w:r>
    </w:p>
    <w:p>
      <w:pPr>
        <w:spacing w:line="480" w:lineRule="exact"/>
        <w:rPr>
          <w:rFonts w:asciiTheme="majorEastAsia" w:hAnsiTheme="majorEastAsia" w:eastAsiaTheme="majorEastAsia"/>
          <w:b/>
          <w:sz w:val="32"/>
          <w:szCs w:val="32"/>
        </w:rPr>
      </w:pPr>
      <w:r>
        <w:rPr>
          <w:rFonts w:hint="eastAsia" w:asciiTheme="majorEastAsia" w:hAnsiTheme="majorEastAsia" w:eastAsiaTheme="majorEastAsia"/>
          <w:b/>
          <w:sz w:val="32"/>
          <w:szCs w:val="32"/>
        </w:rPr>
        <w:t>8、</w:t>
      </w:r>
      <w:r>
        <w:rPr>
          <w:rFonts w:hint="eastAsia"/>
          <w:b/>
          <w:sz w:val="32"/>
          <w:szCs w:val="32"/>
        </w:rPr>
        <w:t>评标方法和评标标准</w:t>
      </w:r>
    </w:p>
    <w:p>
      <w:pPr>
        <w:spacing w:line="480" w:lineRule="exact"/>
        <w:jc w:val="center"/>
        <w:rPr>
          <w:b/>
          <w:sz w:val="24"/>
        </w:rPr>
      </w:pPr>
    </w:p>
    <w:p>
      <w:pPr>
        <w:spacing w:line="480" w:lineRule="exact"/>
        <w:jc w:val="center"/>
        <w:rPr>
          <w:rFonts w:ascii="黑体" w:hAnsi="黑体" w:eastAsia="黑体"/>
          <w:sz w:val="44"/>
          <w:szCs w:val="44"/>
        </w:rPr>
      </w:pPr>
      <w:r>
        <w:rPr>
          <w:rFonts w:hint="eastAsia" w:ascii="黑体" w:hAnsi="黑体" w:eastAsia="黑体"/>
          <w:sz w:val="44"/>
          <w:szCs w:val="44"/>
        </w:rPr>
        <w:t>评标方法和评标标准</w:t>
      </w:r>
    </w:p>
    <w:p>
      <w:pPr>
        <w:autoSpaceDE w:val="0"/>
        <w:autoSpaceDN w:val="0"/>
        <w:adjustRightInd w:val="0"/>
        <w:spacing w:line="360" w:lineRule="exact"/>
        <w:ind w:firstLine="422" w:firstLineChars="200"/>
        <w:jc w:val="left"/>
        <w:rPr>
          <w:rFonts w:ascii="宋体" w:hAnsi="宋体"/>
          <w:b/>
          <w:szCs w:val="21"/>
          <w:lang w:val="zh-CN"/>
        </w:rPr>
      </w:pPr>
      <w:r>
        <w:rPr>
          <w:rFonts w:hint="eastAsia" w:ascii="宋体" w:hAnsi="宋体"/>
          <w:b/>
          <w:szCs w:val="21"/>
          <w:lang w:val="zh-CN"/>
        </w:rPr>
        <w:t>一、评标原则</w:t>
      </w:r>
    </w:p>
    <w:p>
      <w:pPr>
        <w:autoSpaceDE w:val="0"/>
        <w:autoSpaceDN w:val="0"/>
        <w:adjustRightInd w:val="0"/>
        <w:spacing w:line="360" w:lineRule="exact"/>
        <w:ind w:firstLine="420" w:firstLineChars="200"/>
        <w:jc w:val="left"/>
        <w:rPr>
          <w:rFonts w:ascii="宋体" w:hAnsi="宋体"/>
          <w:szCs w:val="21"/>
          <w:lang w:val="zh-CN"/>
        </w:rPr>
      </w:pPr>
      <w:r>
        <w:rPr>
          <w:rFonts w:hint="eastAsia" w:ascii="宋体" w:hAnsi="宋体"/>
          <w:szCs w:val="21"/>
          <w:lang w:val="zh-CN"/>
        </w:rPr>
        <w:t>(一)评委构成：本招标采购项目的评委由采购单位代表共三人以上单数构成。</w:t>
      </w:r>
    </w:p>
    <w:p>
      <w:pPr>
        <w:autoSpaceDE w:val="0"/>
        <w:autoSpaceDN w:val="0"/>
        <w:adjustRightInd w:val="0"/>
        <w:spacing w:line="360" w:lineRule="exact"/>
        <w:ind w:firstLine="420" w:firstLineChars="200"/>
        <w:jc w:val="left"/>
        <w:rPr>
          <w:rFonts w:ascii="宋体" w:hAnsi="宋体"/>
          <w:szCs w:val="21"/>
          <w:lang w:val="zh-CN"/>
        </w:rPr>
      </w:pPr>
      <w:r>
        <w:rPr>
          <w:rFonts w:hint="eastAsia" w:ascii="宋体" w:hAnsi="宋体"/>
          <w:szCs w:val="21"/>
          <w:lang w:val="zh-CN"/>
        </w:rPr>
        <w:t>(二)评标依据：评委将以谈判文件为评标依据，对供应商的</w:t>
      </w:r>
      <w:r>
        <w:rPr>
          <w:rFonts w:hint="eastAsia" w:ascii="宋体" w:hAnsi="宋体"/>
          <w:b/>
          <w:szCs w:val="21"/>
          <w:lang w:val="zh-CN"/>
        </w:rPr>
        <w:t>价格、资质、服务承诺、业绩</w:t>
      </w:r>
      <w:r>
        <w:rPr>
          <w:rFonts w:hint="eastAsia" w:ascii="宋体" w:hAnsi="宋体"/>
          <w:szCs w:val="21"/>
          <w:lang w:val="zh-CN"/>
        </w:rPr>
        <w:t>等方面内容按百分制评分。</w:t>
      </w:r>
    </w:p>
    <w:p>
      <w:pPr>
        <w:autoSpaceDE w:val="0"/>
        <w:autoSpaceDN w:val="0"/>
        <w:adjustRightInd w:val="0"/>
        <w:spacing w:line="360" w:lineRule="exact"/>
        <w:ind w:firstLine="420" w:firstLineChars="200"/>
        <w:jc w:val="left"/>
        <w:rPr>
          <w:rFonts w:ascii="宋体" w:hAnsi="宋体"/>
          <w:szCs w:val="21"/>
          <w:lang w:val="zh-CN"/>
        </w:rPr>
      </w:pPr>
      <w:r>
        <w:rPr>
          <w:rFonts w:hint="eastAsia" w:ascii="宋体" w:hAnsi="宋体"/>
          <w:szCs w:val="21"/>
          <w:lang w:val="zh-CN"/>
        </w:rPr>
        <w:t>(三)评标方式：以封闭方式进行。</w:t>
      </w:r>
    </w:p>
    <w:p>
      <w:pPr>
        <w:autoSpaceDE w:val="0"/>
        <w:autoSpaceDN w:val="0"/>
        <w:adjustRightInd w:val="0"/>
        <w:spacing w:line="360" w:lineRule="exact"/>
        <w:ind w:firstLine="422" w:firstLineChars="200"/>
        <w:jc w:val="left"/>
        <w:rPr>
          <w:rFonts w:ascii="宋体" w:hAnsi="宋体"/>
          <w:b/>
          <w:szCs w:val="21"/>
          <w:lang w:val="zh-CN"/>
        </w:rPr>
      </w:pPr>
      <w:r>
        <w:rPr>
          <w:rFonts w:hint="eastAsia" w:ascii="宋体" w:hAnsi="宋体"/>
          <w:b/>
          <w:szCs w:val="21"/>
          <w:lang w:val="zh-CN"/>
        </w:rPr>
        <w:t>二、评标方法</w:t>
      </w:r>
    </w:p>
    <w:p>
      <w:pPr>
        <w:autoSpaceDE w:val="0"/>
        <w:autoSpaceDN w:val="0"/>
        <w:adjustRightInd w:val="0"/>
        <w:spacing w:line="360" w:lineRule="exact"/>
        <w:ind w:firstLine="420" w:firstLineChars="200"/>
        <w:jc w:val="left"/>
        <w:rPr>
          <w:rFonts w:ascii="宋体" w:hAnsi="宋体"/>
          <w:szCs w:val="21"/>
          <w:lang w:val="zh-CN"/>
        </w:rPr>
      </w:pPr>
      <w:r>
        <w:rPr>
          <w:rFonts w:hint="eastAsia" w:hAnsi="宋体"/>
          <w:bCs/>
          <w:szCs w:val="21"/>
        </w:rPr>
        <w:t>（一）对进入详评的，采用百分制综合评分法。</w:t>
      </w:r>
    </w:p>
    <w:p>
      <w:pPr>
        <w:pStyle w:val="3"/>
        <w:spacing w:line="360" w:lineRule="exact"/>
        <w:ind w:firstLine="420" w:firstLineChars="200"/>
        <w:outlineLvl w:val="0"/>
        <w:rPr>
          <w:rFonts w:hAnsi="宋体"/>
          <w:bCs/>
          <w:szCs w:val="21"/>
        </w:rPr>
      </w:pPr>
      <w:r>
        <w:rPr>
          <w:rFonts w:hint="eastAsia" w:hAnsi="宋体"/>
          <w:bCs/>
          <w:szCs w:val="21"/>
        </w:rPr>
        <w:t>（二）计分办法（按四舍五入取至百分位）：</w:t>
      </w:r>
    </w:p>
    <w:tbl>
      <w:tblPr>
        <w:tblStyle w:val="7"/>
        <w:tblW w:w="101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65"/>
        <w:gridCol w:w="718"/>
        <w:gridCol w:w="6032"/>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00" w:type="dxa"/>
            <w:vAlign w:val="center"/>
          </w:tcPr>
          <w:p>
            <w:pPr>
              <w:jc w:val="center"/>
              <w:rPr>
                <w:szCs w:val="21"/>
              </w:rPr>
            </w:pPr>
            <w:r>
              <w:rPr>
                <w:rFonts w:hint="eastAsia"/>
                <w:szCs w:val="21"/>
              </w:rPr>
              <w:t>序号</w:t>
            </w:r>
          </w:p>
        </w:tc>
        <w:tc>
          <w:tcPr>
            <w:tcW w:w="1065" w:type="dxa"/>
            <w:vAlign w:val="center"/>
          </w:tcPr>
          <w:p>
            <w:pPr>
              <w:jc w:val="center"/>
              <w:rPr>
                <w:szCs w:val="21"/>
              </w:rPr>
            </w:pPr>
            <w:r>
              <w:rPr>
                <w:rFonts w:hint="eastAsia"/>
                <w:szCs w:val="21"/>
              </w:rPr>
              <w:t>评分因素及权重</w:t>
            </w:r>
          </w:p>
        </w:tc>
        <w:tc>
          <w:tcPr>
            <w:tcW w:w="718" w:type="dxa"/>
            <w:vAlign w:val="center"/>
          </w:tcPr>
          <w:p>
            <w:pPr>
              <w:jc w:val="center"/>
              <w:rPr>
                <w:szCs w:val="21"/>
              </w:rPr>
            </w:pPr>
            <w:r>
              <w:rPr>
                <w:rFonts w:hint="eastAsia"/>
                <w:szCs w:val="21"/>
              </w:rPr>
              <w:t>分值</w:t>
            </w:r>
          </w:p>
        </w:tc>
        <w:tc>
          <w:tcPr>
            <w:tcW w:w="6032" w:type="dxa"/>
            <w:vAlign w:val="center"/>
          </w:tcPr>
          <w:p>
            <w:pPr>
              <w:jc w:val="center"/>
              <w:rPr>
                <w:szCs w:val="21"/>
              </w:rPr>
            </w:pPr>
            <w:r>
              <w:rPr>
                <w:rFonts w:hint="eastAsia"/>
                <w:szCs w:val="21"/>
              </w:rPr>
              <w:t>评分标准</w:t>
            </w:r>
          </w:p>
        </w:tc>
        <w:tc>
          <w:tcPr>
            <w:tcW w:w="1745" w:type="dxa"/>
            <w:vAlign w:val="center"/>
          </w:tcPr>
          <w:p>
            <w:pPr>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00" w:type="dxa"/>
            <w:vAlign w:val="center"/>
          </w:tcPr>
          <w:p>
            <w:pPr>
              <w:jc w:val="center"/>
              <w:rPr>
                <w:szCs w:val="21"/>
              </w:rPr>
            </w:pPr>
            <w:r>
              <w:rPr>
                <w:rFonts w:hint="eastAsia"/>
                <w:szCs w:val="21"/>
              </w:rPr>
              <w:t>1</w:t>
            </w:r>
          </w:p>
        </w:tc>
        <w:tc>
          <w:tcPr>
            <w:tcW w:w="1065" w:type="dxa"/>
            <w:vAlign w:val="center"/>
          </w:tcPr>
          <w:p>
            <w:pPr>
              <w:jc w:val="center"/>
              <w:rPr>
                <w:szCs w:val="21"/>
              </w:rPr>
            </w:pPr>
            <w:r>
              <w:rPr>
                <w:rFonts w:hint="eastAsia"/>
                <w:szCs w:val="21"/>
              </w:rPr>
              <w:t>投标报价</w:t>
            </w:r>
          </w:p>
          <w:p>
            <w:pPr>
              <w:jc w:val="center"/>
              <w:rPr>
                <w:szCs w:val="21"/>
              </w:rPr>
            </w:pPr>
            <w:r>
              <w:rPr>
                <w:rFonts w:hint="eastAsia"/>
                <w:szCs w:val="21"/>
              </w:rPr>
              <w:t>（30%）</w:t>
            </w:r>
          </w:p>
        </w:tc>
        <w:tc>
          <w:tcPr>
            <w:tcW w:w="71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603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有效的投标报价中的最低价为评标基准价，按照下列公式计算每个投标人的投标价格得分。</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投标报价得分=（评标基准价/投标报价）×价格权重×100。</w:t>
            </w:r>
          </w:p>
        </w:tc>
        <w:tc>
          <w:tcPr>
            <w:tcW w:w="1745" w:type="dxa"/>
            <w:vAlign w:val="center"/>
          </w:tcPr>
          <w:p>
            <w:pPr>
              <w:rPr>
                <w:szCs w:val="21"/>
              </w:rPr>
            </w:pPr>
            <w:r>
              <w:rPr>
                <w:rFonts w:hint="eastAsia" w:ascii="宋体" w:hAnsi="宋体" w:cs="宋体"/>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00" w:type="dxa"/>
            <w:vMerge w:val="restart"/>
            <w:vAlign w:val="center"/>
          </w:tcPr>
          <w:p>
            <w:pPr>
              <w:jc w:val="center"/>
              <w:rPr>
                <w:szCs w:val="21"/>
              </w:rPr>
            </w:pPr>
            <w:r>
              <w:rPr>
                <w:rFonts w:hint="eastAsia"/>
                <w:szCs w:val="21"/>
              </w:rPr>
              <w:t>2</w:t>
            </w:r>
          </w:p>
        </w:tc>
        <w:tc>
          <w:tcPr>
            <w:tcW w:w="1065" w:type="dxa"/>
            <w:vMerge w:val="restart"/>
            <w:vAlign w:val="center"/>
          </w:tcPr>
          <w:p>
            <w:pPr>
              <w:jc w:val="center"/>
              <w:rPr>
                <w:szCs w:val="21"/>
              </w:rPr>
            </w:pPr>
            <w:r>
              <w:rPr>
                <w:rFonts w:hint="eastAsia"/>
                <w:szCs w:val="21"/>
              </w:rPr>
              <w:t>技术部分（40%）</w:t>
            </w:r>
          </w:p>
        </w:tc>
        <w:tc>
          <w:tcPr>
            <w:tcW w:w="71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6032"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1.提供详细的系统网络构架、系统运行环境、网络安全及系统备份等相关方案得2分；提供科学合理的项目实施方案得2分,不提供或提供实现不了的方案不得分，本项满分4分。</w:t>
            </w:r>
          </w:p>
        </w:tc>
        <w:tc>
          <w:tcPr>
            <w:tcW w:w="1745" w:type="dxa"/>
            <w:vMerge w:val="restart"/>
            <w:vAlign w:val="center"/>
          </w:tcPr>
          <w:p>
            <w:pPr>
              <w:rPr>
                <w:szCs w:val="21"/>
              </w:rPr>
            </w:pPr>
            <w:r>
              <w:rPr>
                <w:rFonts w:hint="eastAsia"/>
                <w:szCs w:val="21"/>
              </w:rPr>
              <w:t>投标人结合已有的与本项目相似的成功案例实际运行情况结合技术要求串讲(案例环境)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3" w:hRule="atLeast"/>
        </w:trPr>
        <w:tc>
          <w:tcPr>
            <w:tcW w:w="600" w:type="dxa"/>
            <w:vMerge w:val="continue"/>
            <w:vAlign w:val="center"/>
          </w:tcPr>
          <w:p>
            <w:pPr>
              <w:jc w:val="center"/>
              <w:rPr>
                <w:szCs w:val="21"/>
              </w:rPr>
            </w:pPr>
          </w:p>
        </w:tc>
        <w:tc>
          <w:tcPr>
            <w:tcW w:w="1065" w:type="dxa"/>
            <w:vMerge w:val="continue"/>
            <w:vAlign w:val="center"/>
          </w:tcPr>
          <w:p>
            <w:pPr>
              <w:jc w:val="center"/>
              <w:rPr>
                <w:szCs w:val="21"/>
              </w:rPr>
            </w:pPr>
          </w:p>
        </w:tc>
        <w:tc>
          <w:tcPr>
            <w:tcW w:w="718" w:type="dxa"/>
            <w:vAlign w:val="center"/>
          </w:tcPr>
          <w:p>
            <w:pPr>
              <w:jc w:val="center"/>
              <w:rPr>
                <w:szCs w:val="21"/>
              </w:rPr>
            </w:pPr>
            <w:r>
              <w:rPr>
                <w:rFonts w:hint="eastAsia"/>
                <w:szCs w:val="21"/>
              </w:rPr>
              <w:t>21</w:t>
            </w:r>
          </w:p>
        </w:tc>
        <w:tc>
          <w:tcPr>
            <w:tcW w:w="6032" w:type="dxa"/>
            <w:vAlign w:val="center"/>
          </w:tcPr>
          <w:p>
            <w:pPr>
              <w:spacing w:line="240" w:lineRule="atLeast"/>
              <w:rPr>
                <w:rFonts w:ascii="宋体" w:hAnsi="宋体" w:cs="宋体"/>
                <w:szCs w:val="21"/>
              </w:rPr>
            </w:pPr>
            <w:r>
              <w:rPr>
                <w:rFonts w:hint="eastAsia" w:ascii="宋体" w:hAnsi="宋体" w:cs="宋体"/>
                <w:szCs w:val="21"/>
              </w:rPr>
              <w:t>1.起评分：</w:t>
            </w:r>
          </w:p>
          <w:p>
            <w:pPr>
              <w:spacing w:line="240" w:lineRule="atLeast"/>
              <w:rPr>
                <w:rFonts w:ascii="宋体" w:hAnsi="宋体" w:cs="宋体"/>
                <w:szCs w:val="21"/>
              </w:rPr>
            </w:pPr>
            <w:r>
              <w:rPr>
                <w:rFonts w:hint="eastAsia" w:ascii="宋体" w:hAnsi="宋体" w:cs="宋体"/>
                <w:szCs w:val="21"/>
              </w:rPr>
              <w:t>有效投标人的起评分为21分。</w:t>
            </w:r>
          </w:p>
          <w:p>
            <w:pPr>
              <w:spacing w:line="240" w:lineRule="atLeast"/>
              <w:rPr>
                <w:rFonts w:ascii="宋体" w:hAnsi="宋体" w:cs="宋体"/>
                <w:szCs w:val="21"/>
              </w:rPr>
            </w:pPr>
            <w:r>
              <w:rPr>
                <w:rFonts w:hint="eastAsia" w:ascii="宋体" w:hAnsi="宋体" w:cs="宋体"/>
                <w:szCs w:val="21"/>
              </w:rPr>
              <w:t>2.扣分条款：</w:t>
            </w:r>
          </w:p>
          <w:p>
            <w:pPr>
              <w:spacing w:line="240" w:lineRule="atLeast"/>
              <w:rPr>
                <w:szCs w:val="21"/>
              </w:rPr>
            </w:pPr>
            <w:r>
              <w:rPr>
                <w:rFonts w:hint="eastAsia" w:ascii="宋体" w:hAnsi="宋体" w:cs="宋体"/>
                <w:szCs w:val="21"/>
              </w:rPr>
              <w:t>2.1技术参数达不到招标文件要求的，每负偏离一条从起评分中扣除1分，有5条及以上不满足招标文件要求的，技术部分得分为0分。</w:t>
            </w:r>
          </w:p>
        </w:tc>
        <w:tc>
          <w:tcPr>
            <w:tcW w:w="174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600" w:type="dxa"/>
            <w:vMerge w:val="continue"/>
            <w:vAlign w:val="center"/>
          </w:tcPr>
          <w:p>
            <w:pPr>
              <w:jc w:val="center"/>
              <w:rPr>
                <w:szCs w:val="21"/>
              </w:rPr>
            </w:pPr>
          </w:p>
        </w:tc>
        <w:tc>
          <w:tcPr>
            <w:tcW w:w="1065" w:type="dxa"/>
            <w:vMerge w:val="continue"/>
            <w:vAlign w:val="center"/>
          </w:tcPr>
          <w:p>
            <w:pPr>
              <w:jc w:val="center"/>
              <w:rPr>
                <w:szCs w:val="21"/>
              </w:rPr>
            </w:pPr>
          </w:p>
        </w:tc>
        <w:tc>
          <w:tcPr>
            <w:tcW w:w="718" w:type="dxa"/>
            <w:vAlign w:val="center"/>
          </w:tcPr>
          <w:p>
            <w:pPr>
              <w:jc w:val="center"/>
              <w:rPr>
                <w:szCs w:val="21"/>
              </w:rPr>
            </w:pPr>
            <w:r>
              <w:rPr>
                <w:rFonts w:hint="eastAsia"/>
                <w:szCs w:val="21"/>
              </w:rPr>
              <w:t>15</w:t>
            </w:r>
          </w:p>
        </w:tc>
        <w:tc>
          <w:tcPr>
            <w:tcW w:w="6032" w:type="dxa"/>
            <w:vAlign w:val="center"/>
          </w:tcPr>
          <w:p>
            <w:pPr>
              <w:rPr>
                <w:szCs w:val="21"/>
              </w:rPr>
            </w:pPr>
            <w:r>
              <w:rPr>
                <w:rFonts w:hint="eastAsia"/>
                <w:szCs w:val="21"/>
              </w:rPr>
              <w:t>投标人须对所投产品各功能模块进行演示和讲解，确保所投产品的基本功能架构能够满足项目需求。演示需自带电脑，按照抽签顺序进行演示，演示时间控制在15分钟以内。根据每一项演示内容指标计分，每项全部满足得3分，有一点不满足不得分；未参加演示的投标人此项得0分。</w:t>
            </w:r>
          </w:p>
          <w:p>
            <w:pPr>
              <w:rPr>
                <w:szCs w:val="21"/>
              </w:rPr>
            </w:pPr>
            <w:r>
              <w:rPr>
                <w:szCs w:val="21"/>
              </w:rPr>
              <w:t>演示内容</w:t>
            </w:r>
            <w:r>
              <w:rPr>
                <w:rFonts w:hint="eastAsia"/>
                <w:szCs w:val="21"/>
              </w:rPr>
              <w:t>：</w:t>
            </w:r>
          </w:p>
          <w:p>
            <w:pPr>
              <w:rPr>
                <w:szCs w:val="21"/>
              </w:rPr>
            </w:pPr>
            <w:r>
              <w:rPr>
                <w:rFonts w:hint="eastAsia"/>
                <w:szCs w:val="21"/>
              </w:rPr>
              <w:t>1、财务系统满足政府会计制度核算模式，支持8类会计科目体系；平行记账，录入财务会计科目分录系统自动生成预算会计分录；系统有财务预算分录对照明细表，学校可以根据业务自行调整。（3分）</w:t>
            </w:r>
          </w:p>
          <w:p>
            <w:pPr>
              <w:rPr>
                <w:szCs w:val="21"/>
              </w:rPr>
            </w:pPr>
            <w:r>
              <w:rPr>
                <w:rFonts w:hint="eastAsia"/>
                <w:szCs w:val="21"/>
              </w:rPr>
              <w:t>2、系统实现以会计科目为主体、以财政功能科目、经济分类科目为辅助的三维核算模式；制单时会计可以根据业务录入经济科目和功能科目；能出“会计科目”、“功能科目”和“经济分类科目”三类科目的账表和组合的账表。（3分）</w:t>
            </w:r>
          </w:p>
          <w:p>
            <w:pPr>
              <w:rPr>
                <w:szCs w:val="21"/>
              </w:rPr>
            </w:pPr>
            <w:r>
              <w:rPr>
                <w:rFonts w:hint="eastAsia"/>
                <w:szCs w:val="21"/>
              </w:rPr>
              <w:t>3、应收、应付科目可以按照对冲号进行往来对冲，报表可以按照科目和项目统计往来对冲明细；按照项目和借款人控制借款次数；在项目余额表里体现项目每月及全年的借还款情况。（3分）</w:t>
            </w:r>
          </w:p>
          <w:p>
            <w:pPr>
              <w:rPr>
                <w:szCs w:val="21"/>
              </w:rPr>
            </w:pPr>
            <w:r>
              <w:rPr>
                <w:rFonts w:hint="eastAsia"/>
                <w:szCs w:val="21"/>
              </w:rPr>
              <w:t>4、制单时按照业务选择对应项目，并实现经费控制；项目分级设置（三级及以上），同时相关信息可按此级别进行分级统计；项目字典应至少具备以下信息：所属部门、项目代码、项目名、负责人、负责人编码、项目类型、项目分类、至少三项项目扩展属性、超支标志及限额、开完工日期、会计科目控制、功能科目控制、经济分类科目控制、额度控制归属项目、经费来源、专项编号等信息。（3分）</w:t>
            </w:r>
          </w:p>
          <w:p>
            <w:pPr>
              <w:rPr>
                <w:szCs w:val="21"/>
              </w:rPr>
            </w:pPr>
            <w:r>
              <w:rPr>
                <w:rFonts w:hint="eastAsia"/>
                <w:szCs w:val="21"/>
              </w:rPr>
              <w:t>5、科研项目不仅实现余额控制，还可实现按照科研结题额度分项控制；将凭证中支出的数据通过科目与额度的对应关系，按额度进行汇总得到额度总账表；按照科研结题模板提供设置分项科研额度与会计科目的对照表。（3分）</w:t>
            </w:r>
          </w:p>
        </w:tc>
        <w:tc>
          <w:tcPr>
            <w:tcW w:w="174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600" w:type="dxa"/>
            <w:vAlign w:val="center"/>
          </w:tcPr>
          <w:p>
            <w:pPr>
              <w:jc w:val="center"/>
              <w:rPr>
                <w:szCs w:val="21"/>
              </w:rPr>
            </w:pPr>
            <w:r>
              <w:rPr>
                <w:rFonts w:hint="eastAsia"/>
                <w:szCs w:val="21"/>
              </w:rPr>
              <w:t>3</w:t>
            </w:r>
          </w:p>
        </w:tc>
        <w:tc>
          <w:tcPr>
            <w:tcW w:w="1065" w:type="dxa"/>
            <w:vAlign w:val="center"/>
          </w:tcPr>
          <w:p>
            <w:pPr>
              <w:jc w:val="center"/>
              <w:rPr>
                <w:szCs w:val="21"/>
              </w:rPr>
            </w:pPr>
            <w:r>
              <w:rPr>
                <w:rFonts w:hint="eastAsia"/>
                <w:szCs w:val="21"/>
              </w:rPr>
              <w:t>商务部分</w:t>
            </w:r>
          </w:p>
          <w:p>
            <w:pPr>
              <w:jc w:val="center"/>
              <w:rPr>
                <w:szCs w:val="21"/>
              </w:rPr>
            </w:pPr>
            <w:r>
              <w:rPr>
                <w:rFonts w:hint="eastAsia"/>
                <w:szCs w:val="21"/>
              </w:rPr>
              <w:t>（30%）</w:t>
            </w:r>
          </w:p>
        </w:tc>
        <w:tc>
          <w:tcPr>
            <w:tcW w:w="718" w:type="dxa"/>
            <w:vAlign w:val="center"/>
          </w:tcPr>
          <w:p>
            <w:pPr>
              <w:jc w:val="center"/>
              <w:rPr>
                <w:color w:val="FF0000"/>
                <w:szCs w:val="21"/>
              </w:rPr>
            </w:pPr>
            <w:r>
              <w:rPr>
                <w:rFonts w:hint="eastAsia"/>
                <w:color w:val="000000" w:themeColor="text1"/>
                <w:szCs w:val="21"/>
                <w14:textFill>
                  <w14:solidFill>
                    <w14:schemeClr w14:val="tx1"/>
                  </w14:solidFill>
                </w14:textFill>
              </w:rPr>
              <w:t>30</w:t>
            </w:r>
          </w:p>
        </w:tc>
        <w:tc>
          <w:tcPr>
            <w:tcW w:w="6032" w:type="dxa"/>
            <w:vAlign w:val="center"/>
          </w:tcPr>
          <w:p>
            <w:pPr>
              <w:rPr>
                <w:szCs w:val="21"/>
              </w:rPr>
            </w:pPr>
            <w:r>
              <w:rPr>
                <w:rFonts w:hint="eastAsia"/>
                <w:szCs w:val="21"/>
              </w:rPr>
              <w:t>1.获奖情况（5分）</w:t>
            </w:r>
          </w:p>
          <w:p>
            <w:pPr>
              <w:rPr>
                <w:szCs w:val="21"/>
              </w:rPr>
            </w:pPr>
            <w:r>
              <w:rPr>
                <w:rFonts w:hint="eastAsia"/>
                <w:szCs w:val="21"/>
              </w:rPr>
              <w:t>获得教育部科学技术进步奖一等奖项得5分、教育部科学技术进步奖二等奖项得2分、教育部科学技术进步其他奖项得1分。</w:t>
            </w:r>
          </w:p>
          <w:p>
            <w:pPr>
              <w:rPr>
                <w:szCs w:val="21"/>
              </w:rPr>
            </w:pPr>
            <w:r>
              <w:rPr>
                <w:rFonts w:hint="eastAsia"/>
                <w:szCs w:val="21"/>
              </w:rPr>
              <w:t>2.类似业绩评价（15分）</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国范围最近5年内（2014年1月1日至今），985或211院校相似案例（相同技术框架的软件产品，单次合同金额在50万以上的合同）≥8个案例，得15分；4-7个案例，得5分；3个案例：3分；少于3个，得0分。（以销售合同复印件或中标通知书复印件为准）。</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3.企业软件成熟度资质证书（7分）</w:t>
            </w:r>
          </w:p>
          <w:p>
            <w:pPr>
              <w:rPr>
                <w:szCs w:val="21"/>
              </w:rPr>
            </w:pPr>
            <w:r>
              <w:rPr>
                <w:rFonts w:hint="eastAsia"/>
                <w:szCs w:val="21"/>
              </w:rPr>
              <w:t>具有软件过程成熟度CMMI3认证及以上认证证书得7分。</w:t>
            </w:r>
          </w:p>
          <w:p>
            <w:pPr>
              <w:rPr>
                <w:szCs w:val="21"/>
              </w:rPr>
            </w:pPr>
            <w:r>
              <w:rPr>
                <w:rFonts w:hint="eastAsia"/>
                <w:szCs w:val="21"/>
              </w:rPr>
              <w:t>4.软件质保期（3分）</w:t>
            </w:r>
          </w:p>
          <w:p>
            <w:pPr>
              <w:rPr>
                <w:szCs w:val="21"/>
              </w:rPr>
            </w:pPr>
            <w:r>
              <w:rPr>
                <w:rFonts w:hint="eastAsia"/>
                <w:szCs w:val="21"/>
              </w:rPr>
              <w:t>按免费质保年限排序；免费质保期最长的得3分；免费质保期第二长的得2分，免费质保期第三长的得1分，其余得0分。</w:t>
            </w:r>
          </w:p>
        </w:tc>
        <w:tc>
          <w:tcPr>
            <w:tcW w:w="1745" w:type="dxa"/>
            <w:vAlign w:val="center"/>
          </w:tcPr>
          <w:p>
            <w:pPr>
              <w:rPr>
                <w:szCs w:val="21"/>
              </w:rPr>
            </w:pPr>
            <w:r>
              <w:rPr>
                <w:rFonts w:hint="eastAsia"/>
                <w:szCs w:val="21"/>
              </w:rPr>
              <w:t>获奖、证书、合同案例等需提供证明材料复印件。（原件备查）</w:t>
            </w:r>
          </w:p>
        </w:tc>
      </w:tr>
    </w:tbl>
    <w:p>
      <w:pPr>
        <w:pStyle w:val="3"/>
        <w:spacing w:line="360" w:lineRule="exact"/>
        <w:outlineLvl w:val="0"/>
        <w:rPr>
          <w:rFonts w:hAnsi="宋体"/>
          <w:szCs w:val="21"/>
        </w:rPr>
      </w:pPr>
    </w:p>
    <w:p>
      <w:pPr>
        <w:pStyle w:val="3"/>
        <w:spacing w:line="360" w:lineRule="exact"/>
        <w:ind w:firstLine="420" w:firstLineChars="200"/>
        <w:outlineLvl w:val="0"/>
        <w:rPr>
          <w:rFonts w:hAnsi="宋体"/>
          <w:szCs w:val="21"/>
        </w:rPr>
      </w:pPr>
      <w:r>
        <w:rPr>
          <w:rFonts w:hint="eastAsia" w:hAnsi="宋体"/>
          <w:szCs w:val="21"/>
        </w:rPr>
        <w:t>（三）总得分 =</w:t>
      </w:r>
      <w:r>
        <w:rPr>
          <w:rFonts w:hint="eastAsia" w:hAnsi="宋体"/>
          <w:bCs/>
          <w:szCs w:val="21"/>
        </w:rPr>
        <w:t xml:space="preserve"> 1+2+3</w:t>
      </w:r>
      <w:r>
        <w:rPr>
          <w:rFonts w:hint="eastAsia" w:hAnsi="宋体"/>
          <w:szCs w:val="21"/>
        </w:rPr>
        <w:t>。</w:t>
      </w:r>
    </w:p>
    <w:p>
      <w:pPr>
        <w:pStyle w:val="3"/>
        <w:spacing w:line="360" w:lineRule="exact"/>
        <w:ind w:firstLine="420" w:firstLineChars="200"/>
        <w:outlineLvl w:val="0"/>
        <w:rPr>
          <w:rFonts w:hAnsi="宋体"/>
          <w:bCs/>
          <w:szCs w:val="21"/>
        </w:rPr>
      </w:pPr>
    </w:p>
    <w:p>
      <w:pPr>
        <w:pStyle w:val="3"/>
        <w:spacing w:line="360" w:lineRule="exact"/>
        <w:ind w:firstLine="422" w:firstLineChars="200"/>
        <w:outlineLvl w:val="0"/>
        <w:rPr>
          <w:rFonts w:hAnsi="宋体"/>
          <w:b/>
          <w:szCs w:val="21"/>
        </w:rPr>
      </w:pPr>
      <w:r>
        <w:rPr>
          <w:rFonts w:hint="eastAsia" w:hAnsi="宋体"/>
          <w:b/>
          <w:szCs w:val="21"/>
        </w:rPr>
        <w:t>三、成交候选人推荐原则</w:t>
      </w:r>
    </w:p>
    <w:p>
      <w:pPr>
        <w:pStyle w:val="3"/>
        <w:spacing w:line="360" w:lineRule="exact"/>
        <w:ind w:firstLine="420" w:firstLineChars="200"/>
        <w:outlineLvl w:val="0"/>
        <w:rPr>
          <w:rFonts w:hAnsi="宋体"/>
          <w:szCs w:val="21"/>
        </w:rPr>
      </w:pPr>
      <w:r>
        <w:rPr>
          <w:rFonts w:hint="eastAsia" w:hAnsi="宋体"/>
          <w:szCs w:val="21"/>
        </w:rPr>
        <w:t>1.当通过资格及符合性审查的有效供应商仅为2家时，则全部有效供应商均直接作为成交候选人。</w:t>
      </w:r>
    </w:p>
    <w:p>
      <w:pPr>
        <w:pStyle w:val="3"/>
        <w:spacing w:line="360" w:lineRule="exact"/>
        <w:ind w:firstLine="420" w:firstLineChars="200"/>
        <w:outlineLvl w:val="0"/>
        <w:rPr>
          <w:rFonts w:hAnsi="宋体"/>
          <w:szCs w:val="21"/>
        </w:rPr>
      </w:pPr>
      <w:r>
        <w:rPr>
          <w:rFonts w:hint="eastAsia" w:hAnsi="宋体"/>
          <w:szCs w:val="21"/>
        </w:rPr>
        <w:t>2.通过资格及符合性审查有效，评标委员会将根据综合评分得分由高到低排列次序（综合得分相同时，按价格、资质、服务承诺、业绩的得分项顺序的高低顺序排列）并推荐排名前2位的供应商作为成交候选人。</w:t>
      </w:r>
    </w:p>
    <w:p>
      <w:pPr>
        <w:spacing w:line="480" w:lineRule="exact"/>
        <w:jc w:val="center"/>
        <w:rPr>
          <w:rFonts w:asciiTheme="majorEastAsia" w:hAnsiTheme="majorEastAsia" w:eastAsiaTheme="majorEastAsia"/>
          <w:sz w:val="28"/>
        </w:rPr>
      </w:pPr>
    </w:p>
    <w:p>
      <w:pPr>
        <w:spacing w:line="480" w:lineRule="exact"/>
        <w:jc w:val="center"/>
        <w:rPr>
          <w:rFonts w:asciiTheme="majorEastAsia" w:hAnsiTheme="majorEastAsia" w:eastAsiaTheme="majorEastAsia"/>
          <w:sz w:val="28"/>
        </w:rPr>
      </w:pPr>
    </w:p>
    <w:p>
      <w:bookmarkStart w:id="0" w:name="_GoBack"/>
      <w:bookmarkEnd w:id="0"/>
    </w:p>
    <w:sectPr>
      <w:footerReference r:id="rId5" w:type="default"/>
      <w:footerReference r:id="rId6" w:type="even"/>
      <w:pgSz w:w="11906" w:h="16838"/>
      <w:pgMar w:top="851" w:right="1196"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separate"/>
    </w:r>
    <w:r>
      <w:rPr>
        <w:rStyle w:val="6"/>
      </w:rPr>
      <w:t>16</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separate"/>
    </w:r>
    <w:r>
      <w:rPr>
        <w:rStyle w:val="6"/>
      </w:rPr>
      <w:t>18</w:t>
    </w:r>
    <w: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7F036D4D"/>
    <w:multiLevelType w:val="multilevel"/>
    <w:tmpl w:val="7F036D4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lvl w:ilvl="0" w:tentative="1">
        <w:start w:val="0"/>
        <w:numFmt w:val="bullet"/>
        <w:lvlText w:val=""/>
        <w:legacy w:legacy="1" w:legacySpace="0" w:legacyIndent="360"/>
        <w:lvlJc w:val="left"/>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3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830" w:firstLineChars="352"/>
    </w:pPr>
    <w:rPr>
      <w:rFonts w:ascii="仿宋_GB2312" w:eastAsia="仿宋_GB2312"/>
      <w:sz w:val="32"/>
      <w:szCs w:val="20"/>
    </w:rPr>
  </w:style>
  <w:style w:type="paragraph" w:styleId="3">
    <w:name w:val="Plain Text"/>
    <w:basedOn w:val="1"/>
    <w:qFormat/>
    <w:uiPriority w:val="0"/>
    <w:rPr>
      <w:rFonts w:ascii="宋体" w:hAnsi="Courier New" w:cstheme="minorBidi"/>
      <w:szCs w:val="22"/>
    </w:rPr>
  </w:style>
  <w:style w:type="paragraph" w:styleId="4">
    <w:name w:val="footer"/>
    <w:basedOn w:val="1"/>
    <w:unhideWhenUsed/>
    <w:qFormat/>
    <w:uiPriority w:val="0"/>
    <w:pPr>
      <w:tabs>
        <w:tab w:val="center" w:pos="4153"/>
        <w:tab w:val="right" w:pos="8306"/>
      </w:tabs>
      <w:snapToGrid w:val="0"/>
      <w:jc w:val="left"/>
    </w:pPr>
    <w:rPr>
      <w:sz w:val="18"/>
      <w:szCs w:val="18"/>
    </w:rPr>
  </w:style>
  <w:style w:type="character" w:styleId="6">
    <w:name w:val="page number"/>
    <w:basedOn w:val="5"/>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2018-12-02T05:16:30Z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